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21FF" w14:textId="77777777" w:rsidR="00EE1DF9" w:rsidRDefault="0044630F">
      <w:pPr>
        <w:pStyle w:val="BodyText"/>
        <w:jc w:val="center"/>
        <w:rPr>
          <w:b/>
        </w:rPr>
      </w:pPr>
      <w:r>
        <w:rPr>
          <w:rFonts w:eastAsia="Arial"/>
          <w:b/>
          <w:bCs/>
          <w:lang w:val="fr-CA"/>
        </w:rPr>
        <w:t xml:space="preserve">Tremco, Inc. Commercial Sealants &amp; </w:t>
      </w:r>
      <w:proofErr w:type="spellStart"/>
      <w:r>
        <w:rPr>
          <w:rFonts w:eastAsia="Arial"/>
          <w:b/>
          <w:bCs/>
          <w:lang w:val="fr-CA"/>
        </w:rPr>
        <w:t>Waterproofing</w:t>
      </w:r>
      <w:proofErr w:type="spellEnd"/>
    </w:p>
    <w:p w14:paraId="18913C89" w14:textId="77777777" w:rsidR="00EE1DF9" w:rsidRDefault="0044630F">
      <w:pPr>
        <w:pStyle w:val="BodyText"/>
        <w:jc w:val="center"/>
        <w:rPr>
          <w:b/>
        </w:rPr>
      </w:pPr>
      <w:r>
        <w:rPr>
          <w:rFonts w:eastAsia="Arial"/>
          <w:b/>
          <w:bCs/>
          <w:lang w:val="fr-CA"/>
        </w:rPr>
        <w:t>Section 07 18 00 REVÊTEMENTS DE CIRCULATION Spécifications du guide des revêtements de circulation automobile</w:t>
      </w:r>
    </w:p>
    <w:p w14:paraId="16CC01DA" w14:textId="77777777" w:rsidR="00EE1DF9" w:rsidRDefault="00EE1DF9">
      <w:pPr>
        <w:pStyle w:val="BodyText"/>
      </w:pPr>
    </w:p>
    <w:p w14:paraId="2B6FD6DF" w14:textId="77777777" w:rsidR="00EE1DF9" w:rsidRDefault="0044630F">
      <w:pPr>
        <w:pStyle w:val="BodyText"/>
      </w:pPr>
      <w:r>
        <w:rPr>
          <w:rFonts w:eastAsia="Arial"/>
          <w:lang w:val="fr-CA"/>
        </w:rPr>
        <w:t xml:space="preserve">Spécificateur : Cette section de spécifications du guide spécifie les systèmes de revêtement de pont </w:t>
      </w:r>
      <w:r>
        <w:rPr>
          <w:rFonts w:eastAsia="Arial"/>
          <w:b/>
          <w:bCs/>
          <w:lang w:val="fr-CA"/>
        </w:rPr>
        <w:t xml:space="preserve">à basse teneur en COV Tremco </w:t>
      </w:r>
      <w:proofErr w:type="spellStart"/>
      <w:r>
        <w:rPr>
          <w:rFonts w:eastAsia="Arial"/>
          <w:b/>
          <w:bCs/>
          <w:lang w:val="fr-CA"/>
        </w:rPr>
        <w:t>Vulkem</w:t>
      </w:r>
      <w:r>
        <w:rPr>
          <w:rFonts w:eastAsia="Arial"/>
          <w:b/>
          <w:bCs/>
          <w:vertAlign w:val="superscript"/>
          <w:lang w:val="fr-CA"/>
        </w:rPr>
        <w:t>MD</w:t>
      </w:r>
      <w:proofErr w:type="spellEnd"/>
      <w:r>
        <w:rPr>
          <w:rFonts w:eastAsia="Arial"/>
          <w:b/>
          <w:bCs/>
          <w:lang w:val="fr-CA"/>
        </w:rPr>
        <w:t> </w:t>
      </w:r>
      <w:r>
        <w:rPr>
          <w:rFonts w:eastAsia="Arial"/>
          <w:lang w:val="fr-CA"/>
        </w:rPr>
        <w:t xml:space="preserve"> 350NF/950NF/951NF et 360NF/950NF/951NF des produits de revêtement de circulation en polyuréthane </w:t>
      </w:r>
    </w:p>
    <w:p w14:paraId="7C92F835" w14:textId="77777777" w:rsidR="00EE1DF9" w:rsidRDefault="0044630F">
      <w:pPr>
        <w:pStyle w:val="BodyText"/>
      </w:pPr>
      <w:r>
        <w:rPr>
          <w:rFonts w:eastAsia="Arial"/>
          <w:lang w:val="fr-CA"/>
        </w:rPr>
        <w:t>Ce système de revê</w:t>
      </w:r>
      <w:r>
        <w:rPr>
          <w:rFonts w:eastAsia="Arial"/>
          <w:lang w:val="fr-CA"/>
        </w:rPr>
        <w:t xml:space="preserve">tement de pont est un système de revêtement de pont pour véhicules appliqué à froid, conçu pour l’étanchéité des dalles de béton et la protection des zones occupées en dessous contre les dégâts de l’eau. En outre, le système permettra de protéger le béton </w:t>
      </w:r>
      <w:r>
        <w:rPr>
          <w:rFonts w:eastAsia="Arial"/>
          <w:lang w:val="fr-CA"/>
        </w:rPr>
        <w:t>contre les effets néfastes des sels fondants, de l’essence, de l’huile et de l’antigel.</w:t>
      </w:r>
    </w:p>
    <w:p w14:paraId="2D49093C" w14:textId="77777777" w:rsidR="00EE1DF9" w:rsidRDefault="0044630F">
      <w:pPr>
        <w:pStyle w:val="BodyText"/>
      </w:pPr>
      <w:r>
        <w:rPr>
          <w:rFonts w:eastAsia="Arial"/>
          <w:lang w:val="fr-CA"/>
        </w:rPr>
        <w:t xml:space="preserve">Les couches de finition </w:t>
      </w:r>
      <w:r>
        <w:rPr>
          <w:rFonts w:eastAsia="Arial"/>
          <w:b/>
          <w:bCs/>
          <w:lang w:val="fr-CA"/>
        </w:rPr>
        <w:t>Vulkem 950NF et 951NF</w:t>
      </w:r>
      <w:r>
        <w:rPr>
          <w:rFonts w:eastAsia="Arial"/>
          <w:lang w:val="fr-CA"/>
        </w:rPr>
        <w:t xml:space="preserve"> sont des couches de finition polyuréthane à deux composants, respectueuses des voisins, haute performance, pour les applic</w:t>
      </w:r>
      <w:r>
        <w:rPr>
          <w:rFonts w:eastAsia="Arial"/>
          <w:lang w:val="fr-CA"/>
        </w:rPr>
        <w:t>ations véhiculaires (usage intensif) et piétonnières où une couche de finition à faible odeur et extrêmement durable est nécessaire. Il s’agit d’un système à près de 100 pour cent de solides, conforme aux normes en matière de COV, extrêmement durable et po</w:t>
      </w:r>
      <w:r>
        <w:rPr>
          <w:rFonts w:eastAsia="Arial"/>
          <w:lang w:val="fr-CA"/>
        </w:rPr>
        <w:t>uvant être installé selon une méthode rapide. Le Vulkem 951NF est également disponible en transparent pour les applications décoratives piétonnières à quartz de couleur. La couche de finition Vulkem 950NF peut être utilisée à la fois comme couche intermédi</w:t>
      </w:r>
      <w:r>
        <w:rPr>
          <w:rFonts w:eastAsia="Arial"/>
          <w:lang w:val="fr-CA"/>
        </w:rPr>
        <w:t>aire pour le système à usage intensif Tremco et couche de finition pour les applications intérieures. Le Vulkem 951NF peut également être utilisé comme couche intermédiaire et couche de finition, mais il est stable aux UV pour les applications extérieures.</w:t>
      </w:r>
    </w:p>
    <w:p w14:paraId="65F3FF90" w14:textId="25016753" w:rsidR="00EE1DF9" w:rsidRDefault="0044630F">
      <w:pPr>
        <w:pStyle w:val="BodyText"/>
        <w:rPr>
          <w:rFonts w:eastAsia="Arial"/>
          <w:lang w:val="fr-CA"/>
        </w:rPr>
      </w:pPr>
      <w:r>
        <w:rPr>
          <w:rFonts w:eastAsia="Arial"/>
          <w:b/>
          <w:bCs/>
          <w:lang w:val="fr-CA"/>
        </w:rPr>
        <w:t>La couche de fond Vulkem 350NF</w:t>
      </w:r>
      <w:r>
        <w:rPr>
          <w:rFonts w:eastAsia="Arial"/>
          <w:lang w:val="fr-CA"/>
        </w:rPr>
        <w:t xml:space="preserve"> est une membrane de polyuréthane à composant unique, à faible odeur et à faible teneur en COV qui adhère fermement au béton et au métal propres et secs. Il conserve son intégrité même si le mouvement du substrat cause des fi</w:t>
      </w:r>
      <w:r>
        <w:rPr>
          <w:rFonts w:eastAsia="Arial"/>
          <w:lang w:val="fr-CA"/>
        </w:rPr>
        <w:t>ssures fines jusqu’à 1,5 mm (1/16 po). Le Vulkem 350NF est disponible en rouleau (R) et en grade autonivelant (SL) pour une application verticale et horizontale.</w:t>
      </w:r>
    </w:p>
    <w:p w14:paraId="41E59718" w14:textId="55BD4237" w:rsidR="00BC44A7" w:rsidRPr="00BC44A7" w:rsidRDefault="00BC44A7" w:rsidP="00434E5C">
      <w:pPr>
        <w:pStyle w:val="BodyText"/>
        <w:rPr>
          <w:lang w:val="fr-CA"/>
        </w:rPr>
      </w:pPr>
      <w:r>
        <w:rPr>
          <w:b/>
          <w:bCs/>
          <w:lang w:val="fr-CA"/>
        </w:rPr>
        <w:t>La couche de fond Vulkem 360NF</w:t>
      </w:r>
      <w:r>
        <w:rPr>
          <w:lang w:val="fr-CA"/>
        </w:rPr>
        <w:t xml:space="preserve"> est une couche d’étanchéité de polyuréthane, à faible odeur, à durcissement rapide à l’eau, conforme aux normes en matière de COV qui possède une adhérence solide principalement sur le béton propre et sec. Il conserve son intégrité même si le mouvement du substrat cause des fissures fines jusqu’à 1,5 mm (1/16 po). </w:t>
      </w:r>
      <w:r w:rsidR="00434E5C">
        <w:rPr>
          <w:lang w:val="fr-FR"/>
        </w:rPr>
        <w:t>Si coupée ou endommagée, Vulkem 360NF empêchera la migration de l'eau entre elle-même et le substrat. Vulkem 360NF est une couche de base polyvalente qui peut être appliquée à différentes épaisseurs, ce qui la rend idéale pour le rapiéçage et le nivellement des zones en pente lors des travaux de restauration dans les zones non exposées à la circulation des roues. Utilisez un mortier cimentaire pour pente, ragréage et réparation lorsqu'il est exposé à la circulation automobile.</w:t>
      </w:r>
    </w:p>
    <w:p w14:paraId="0587E248" w14:textId="77777777" w:rsidR="00EE1DF9" w:rsidRDefault="0044630F">
      <w:pPr>
        <w:pStyle w:val="BodyText"/>
      </w:pPr>
      <w:proofErr w:type="gramStart"/>
      <w:r>
        <w:rPr>
          <w:rFonts w:eastAsia="Arial"/>
          <w:lang w:val="fr-CA"/>
        </w:rPr>
        <w:t>Ou</w:t>
      </w:r>
      <w:proofErr w:type="gramEnd"/>
    </w:p>
    <w:p w14:paraId="4900941C" w14:textId="77777777" w:rsidR="00EE1DF9" w:rsidRDefault="0044630F">
      <w:pPr>
        <w:pStyle w:val="BodyText"/>
      </w:pPr>
      <w:r>
        <w:rPr>
          <w:rFonts w:eastAsia="Arial"/>
          <w:lang w:val="fr-CA"/>
        </w:rPr>
        <w:t xml:space="preserve">Système de revêtement de pont standard </w:t>
      </w:r>
      <w:r>
        <w:rPr>
          <w:rFonts w:eastAsia="Arial"/>
          <w:b/>
          <w:bCs/>
          <w:lang w:val="fr-CA"/>
        </w:rPr>
        <w:t>Vulkem 350NF/346/346</w:t>
      </w:r>
      <w:r>
        <w:rPr>
          <w:rFonts w:eastAsia="Arial"/>
          <w:lang w:val="fr-CA"/>
        </w:rPr>
        <w:t xml:space="preserve"> des produits de revêtement de circulation en polyuréthane.</w:t>
      </w:r>
    </w:p>
    <w:p w14:paraId="363ED99A" w14:textId="77777777" w:rsidR="00EE1DF9" w:rsidRDefault="0044630F">
      <w:pPr>
        <w:pStyle w:val="BodyText"/>
      </w:pPr>
      <w:r>
        <w:rPr>
          <w:rFonts w:eastAsia="Arial"/>
          <w:lang w:val="fr-CA"/>
        </w:rPr>
        <w:t>Ce système de revêtement de pont est un système de revêtement de pont pour véhicules appliqué à</w:t>
      </w:r>
      <w:r>
        <w:rPr>
          <w:rFonts w:eastAsia="Arial"/>
          <w:lang w:val="fr-CA"/>
        </w:rPr>
        <w:t xml:space="preserve"> froid, conçu pour l’étanchéité des dalles de béton et la protection des zones occupées en dessous contre les dégâts de l’eau. En outre, le système permettra de protéger le béton contre les effets néfastes des sels fondants, de l’essence, de l’huile et de </w:t>
      </w:r>
      <w:r>
        <w:rPr>
          <w:rFonts w:eastAsia="Arial"/>
          <w:lang w:val="fr-CA"/>
        </w:rPr>
        <w:t>l’antigel.</w:t>
      </w:r>
    </w:p>
    <w:p w14:paraId="242EC436" w14:textId="77777777" w:rsidR="00EE1DF9" w:rsidRDefault="0044630F">
      <w:pPr>
        <w:pStyle w:val="BodyText"/>
      </w:pPr>
      <w:r>
        <w:rPr>
          <w:rFonts w:eastAsia="Arial"/>
          <w:b/>
          <w:bCs/>
          <w:lang w:val="fr-CA"/>
        </w:rPr>
        <w:t>La couche intermédiaire Vulkem 346</w:t>
      </w:r>
      <w:r>
        <w:rPr>
          <w:rFonts w:eastAsia="Arial"/>
          <w:lang w:val="fr-CA"/>
        </w:rPr>
        <w:t xml:space="preserve"> est un uréthane aliphatique à composant unique appliqué après le durcissement de la couche de fond Vulkem 350NF. La couche intermédiaire est chargée de granulats pour donner au système une excellente résistance</w:t>
      </w:r>
      <w:r>
        <w:rPr>
          <w:rFonts w:eastAsia="Arial"/>
          <w:lang w:val="fr-CA"/>
        </w:rPr>
        <w:t xml:space="preserve"> aux chocs, à l'abrasion et aux produits chimiques.</w:t>
      </w:r>
    </w:p>
    <w:p w14:paraId="312A083C" w14:textId="77777777" w:rsidR="00EE1DF9" w:rsidRDefault="0044630F">
      <w:pPr>
        <w:pStyle w:val="BodyText"/>
      </w:pPr>
      <w:r>
        <w:rPr>
          <w:rFonts w:eastAsia="Arial"/>
          <w:b/>
          <w:bCs/>
          <w:lang w:val="fr-CA"/>
        </w:rPr>
        <w:t>La couche de finition Vulkem 346</w:t>
      </w:r>
      <w:r>
        <w:rPr>
          <w:rFonts w:eastAsia="Arial"/>
          <w:lang w:val="fr-CA"/>
        </w:rPr>
        <w:t xml:space="preserve"> est un polyuréthane aliphatique à composant unique appliqué après le durcissement de la couche intermédiaire Vulkem 346. L'adhérence </w:t>
      </w:r>
      <w:proofErr w:type="spellStart"/>
      <w:r>
        <w:rPr>
          <w:rFonts w:eastAsia="Arial"/>
          <w:lang w:val="fr-CA"/>
        </w:rPr>
        <w:t>interlaminaire</w:t>
      </w:r>
      <w:proofErr w:type="spellEnd"/>
      <w:r>
        <w:rPr>
          <w:rFonts w:eastAsia="Arial"/>
          <w:lang w:val="fr-CA"/>
        </w:rPr>
        <w:t xml:space="preserve"> au Vulkem 346 est extrê</w:t>
      </w:r>
      <w:r>
        <w:rPr>
          <w:rFonts w:eastAsia="Arial"/>
          <w:lang w:val="fr-CA"/>
        </w:rPr>
        <w:t>mement forte. La couche de finition offre une excellente résistance à l'abrasion, aux UV et aux produits chimiques pour compléter ce système de revêtement de pont de circulation Vulkem.</w:t>
      </w:r>
    </w:p>
    <w:p w14:paraId="348ABD9D" w14:textId="77777777" w:rsidR="00EE1DF9" w:rsidRDefault="00EE1DF9">
      <w:pPr>
        <w:pStyle w:val="BodyText"/>
      </w:pPr>
    </w:p>
    <w:p w14:paraId="49990561" w14:textId="77777777" w:rsidR="00EE1DF9" w:rsidRDefault="00EE1DF9">
      <w:pPr>
        <w:pStyle w:val="BodyText"/>
      </w:pPr>
    </w:p>
    <w:p w14:paraId="0E702FCF" w14:textId="77777777" w:rsidR="00EE1DF9" w:rsidRDefault="0044630F">
      <w:pPr>
        <w:pStyle w:val="BodyText"/>
      </w:pPr>
      <w:r>
        <w:rPr>
          <w:rFonts w:eastAsia="Arial"/>
          <w:lang w:val="fr-CA"/>
        </w:rPr>
        <w:t>Utilisations de base</w:t>
      </w:r>
    </w:p>
    <w:p w14:paraId="00E6DC50" w14:textId="77777777" w:rsidR="00EE1DF9" w:rsidRDefault="0044630F">
      <w:pPr>
        <w:pStyle w:val="BodyText"/>
      </w:pPr>
      <w:r>
        <w:rPr>
          <w:rFonts w:eastAsia="Arial"/>
          <w:lang w:val="fr-CA"/>
        </w:rPr>
        <w:t>Spécialement formulé pour les applications sens</w:t>
      </w:r>
      <w:r>
        <w:rPr>
          <w:rFonts w:eastAsia="Arial"/>
          <w:lang w:val="fr-CA"/>
        </w:rPr>
        <w:t>ibles aux odeurs dans les zones très occupées, il est idéal pour les travaux de restauration où le temps et les odeurs sont une préoccupation.</w:t>
      </w:r>
    </w:p>
    <w:p w14:paraId="339EA0CF" w14:textId="77777777" w:rsidR="00EE1DF9" w:rsidRDefault="0044630F">
      <w:pPr>
        <w:pStyle w:val="BodyText"/>
      </w:pPr>
      <w:r>
        <w:rPr>
          <w:rFonts w:eastAsia="Arial"/>
          <w:lang w:val="fr-CA"/>
        </w:rPr>
        <w:t>Les applications à usage intermédiaire comprennent l’imperméabilisation des places de stationnement et des substr</w:t>
      </w:r>
      <w:r>
        <w:rPr>
          <w:rFonts w:eastAsia="Arial"/>
          <w:lang w:val="fr-CA"/>
        </w:rPr>
        <w:t xml:space="preserve">ats similaires principalement en béton nécessitant un système d’imperméabilisation </w:t>
      </w:r>
      <w:proofErr w:type="spellStart"/>
      <w:r>
        <w:rPr>
          <w:rFonts w:eastAsia="Arial"/>
          <w:lang w:val="fr-CA"/>
        </w:rPr>
        <w:t>élastomérique</w:t>
      </w:r>
      <w:proofErr w:type="spellEnd"/>
      <w:r>
        <w:rPr>
          <w:rFonts w:eastAsia="Arial"/>
          <w:lang w:val="fr-CA"/>
        </w:rPr>
        <w:t>.</w:t>
      </w:r>
    </w:p>
    <w:p w14:paraId="678C046F" w14:textId="77777777" w:rsidR="00EE1DF9" w:rsidRDefault="0044630F">
      <w:pPr>
        <w:pStyle w:val="BodyText"/>
      </w:pPr>
      <w:r>
        <w:rPr>
          <w:rFonts w:eastAsia="Arial"/>
          <w:lang w:val="fr-CA"/>
        </w:rPr>
        <w:t>Les applications à usage intensif du système de revêtement de pont comprennent l’étanchéité des dalles de béton et la protection des zones occupées en dessous</w:t>
      </w:r>
      <w:r>
        <w:rPr>
          <w:rFonts w:eastAsia="Arial"/>
          <w:lang w:val="fr-CA"/>
        </w:rPr>
        <w:t xml:space="preserve"> contre les dégâts de l’eau. Le système permet également de protéger le béton contre les effets néfastes de l’eau, des sels fondants, des produits chimiques, de l’essence, de l’huile et de l’antigel. </w:t>
      </w:r>
    </w:p>
    <w:p w14:paraId="0192F680" w14:textId="77777777" w:rsidR="00EE1DF9" w:rsidRDefault="0044630F">
      <w:pPr>
        <w:pStyle w:val="BodyText"/>
      </w:pPr>
      <w:bookmarkStart w:id="0" w:name="OLE_LINK1"/>
      <w:bookmarkStart w:id="1" w:name="OLE_LINK2"/>
      <w:r>
        <w:rPr>
          <w:rFonts w:eastAsia="Arial"/>
          <w:lang w:val="fr-CA"/>
        </w:rPr>
        <w:t>Cette section est facile à modifier à l’aide de plusieu</w:t>
      </w:r>
      <w:r>
        <w:rPr>
          <w:rFonts w:eastAsia="Arial"/>
          <w:lang w:val="fr-CA"/>
        </w:rPr>
        <w:t>rs outils logiciels de spécification commerciale courants.</w:t>
      </w:r>
    </w:p>
    <w:p w14:paraId="7E0731F6" w14:textId="77777777" w:rsidR="00EE1DF9" w:rsidRDefault="0044630F">
      <w:pPr>
        <w:pStyle w:val="BodyText"/>
      </w:pPr>
      <w:r>
        <w:rPr>
          <w:rFonts w:eastAsia="Arial"/>
          <w:lang w:val="fr-CA"/>
        </w:rPr>
        <w:t xml:space="preserve">Nous vous recommandons de consulter votre représentant technique de la construction Tremco, avec qui vous pouvez communiquer à : Tremco, Inc., Commercial Sealants and </w:t>
      </w:r>
      <w:proofErr w:type="spellStart"/>
      <w:r>
        <w:rPr>
          <w:rFonts w:eastAsia="Arial"/>
          <w:lang w:val="fr-CA"/>
        </w:rPr>
        <w:t>Waterproofing</w:t>
      </w:r>
      <w:proofErr w:type="spellEnd"/>
      <w:r>
        <w:rPr>
          <w:rFonts w:eastAsia="Arial"/>
          <w:lang w:val="fr-CA"/>
        </w:rPr>
        <w:t xml:space="preserve"> Division, Beachw</w:t>
      </w:r>
      <w:r>
        <w:rPr>
          <w:rFonts w:eastAsia="Arial"/>
          <w:lang w:val="fr-CA"/>
        </w:rPr>
        <w:t>ood OH ; (866) 321-6357; courriel : </w:t>
      </w:r>
      <w:hyperlink r:id="rId9" w:history="1">
        <w:r>
          <w:rPr>
            <w:rFonts w:eastAsia="Arial"/>
            <w:u w:val="single"/>
            <w:lang w:val="fr-CA"/>
          </w:rPr>
          <w:t>techresources@tremcoinc.com</w:t>
        </w:r>
      </w:hyperlink>
      <w:r>
        <w:rPr>
          <w:rFonts w:eastAsia="Arial"/>
          <w:lang w:val="fr-CA"/>
        </w:rPr>
        <w:t xml:space="preserve">; </w:t>
      </w:r>
      <w:hyperlink r:id="rId10" w:history="1">
        <w:r>
          <w:rPr>
            <w:rFonts w:eastAsia="Arial"/>
            <w:u w:val="single"/>
            <w:lang w:val="fr-CA"/>
          </w:rPr>
          <w:t>www.tremcosealants.com</w:t>
        </w:r>
      </w:hyperlink>
      <w:r>
        <w:rPr>
          <w:rFonts w:eastAsia="Arial"/>
          <w:lang w:val="fr-CA"/>
        </w:rPr>
        <w:t>.</w:t>
      </w:r>
    </w:p>
    <w:p w14:paraId="7514A3AD" w14:textId="77777777" w:rsidR="00EE1DF9" w:rsidRDefault="0044630F">
      <w:pPr>
        <w:pStyle w:val="BodyText"/>
      </w:pPr>
      <w:r>
        <w:rPr>
          <w:rFonts w:eastAsia="Arial"/>
          <w:lang w:val="fr-CA"/>
        </w:rPr>
        <w:t>Les produits Tremco figurent dans les spécifications suivantes du guid</w:t>
      </w:r>
      <w:r>
        <w:rPr>
          <w:rFonts w:eastAsia="Arial"/>
          <w:lang w:val="fr-CA"/>
        </w:rPr>
        <w:t xml:space="preserve">e CSI </w:t>
      </w:r>
      <w:proofErr w:type="spellStart"/>
      <w:r>
        <w:rPr>
          <w:rFonts w:eastAsia="Arial"/>
          <w:lang w:val="fr-CA"/>
        </w:rPr>
        <w:t>MasterFormat</w:t>
      </w:r>
      <w:proofErr w:type="spellEnd"/>
      <w:r>
        <w:rPr>
          <w:rFonts w:eastAsia="Arial"/>
          <w:lang w:val="fr-CA"/>
        </w:rPr>
        <w:t xml:space="preserve"> disponibles auprès de Tremco :</w:t>
      </w:r>
    </w:p>
    <w:p w14:paraId="33D80C39" w14:textId="77777777" w:rsidR="00EE1DF9" w:rsidRDefault="0044630F">
      <w:pPr>
        <w:pStyle w:val="BodyText"/>
        <w:contextualSpacing/>
      </w:pPr>
      <w:r>
        <w:rPr>
          <w:rFonts w:eastAsia="Arial"/>
          <w:lang w:val="fr-CA"/>
        </w:rPr>
        <w:t>• Section 07 01 91 Réhabilitation et remplacement de l’enduit d’étanchéité des joints</w:t>
      </w:r>
    </w:p>
    <w:p w14:paraId="0259C199" w14:textId="77777777" w:rsidR="00EE1DF9" w:rsidRDefault="0044630F">
      <w:pPr>
        <w:pStyle w:val="BodyText"/>
        <w:spacing w:after="0"/>
        <w:contextualSpacing/>
      </w:pPr>
      <w:r>
        <w:rPr>
          <w:rFonts w:eastAsia="Arial"/>
          <w:lang w:val="fr-CA"/>
        </w:rPr>
        <w:t>• Section 07 14 13.01 Imperméabilisation appliquée à chaud, pont (</w:t>
      </w:r>
      <w:proofErr w:type="spellStart"/>
      <w:r>
        <w:rPr>
          <w:rFonts w:eastAsia="Arial"/>
          <w:lang w:val="fr-CA"/>
        </w:rPr>
        <w:t>TremPROOF</w:t>
      </w:r>
      <w:proofErr w:type="spellEnd"/>
      <w:r>
        <w:rPr>
          <w:rFonts w:eastAsia="Arial"/>
          <w:lang w:val="fr-CA"/>
        </w:rPr>
        <w:t> 6100)</w:t>
      </w:r>
    </w:p>
    <w:p w14:paraId="4864CAB8" w14:textId="77777777" w:rsidR="00EE1DF9" w:rsidRDefault="0044630F">
      <w:pPr>
        <w:pStyle w:val="BodyText"/>
        <w:contextualSpacing/>
      </w:pPr>
      <w:r>
        <w:rPr>
          <w:rFonts w:eastAsia="Arial"/>
          <w:lang w:val="fr-CA"/>
        </w:rPr>
        <w:t>• Section 07 14 13.02 Imperméabilisati</w:t>
      </w:r>
      <w:r>
        <w:rPr>
          <w:rFonts w:eastAsia="Arial"/>
          <w:lang w:val="fr-CA"/>
        </w:rPr>
        <w:t>on appliquée à chaud, toit végétalisé (</w:t>
      </w:r>
      <w:proofErr w:type="spellStart"/>
      <w:r>
        <w:rPr>
          <w:rFonts w:eastAsia="Arial"/>
          <w:lang w:val="fr-CA"/>
        </w:rPr>
        <w:t>TremPROOF</w:t>
      </w:r>
      <w:proofErr w:type="spellEnd"/>
      <w:r>
        <w:rPr>
          <w:rFonts w:eastAsia="Arial"/>
          <w:lang w:val="fr-CA"/>
        </w:rPr>
        <w:t> 6100)</w:t>
      </w:r>
    </w:p>
    <w:p w14:paraId="5DC1E144" w14:textId="77777777" w:rsidR="00EE1DF9" w:rsidRDefault="0044630F">
      <w:pPr>
        <w:pStyle w:val="BodyText"/>
        <w:contextualSpacing/>
      </w:pPr>
      <w:r>
        <w:rPr>
          <w:rFonts w:eastAsia="Arial"/>
          <w:lang w:val="fr-CA"/>
        </w:rPr>
        <w:t>• Section 07 14 16.01 Imperméabilisation appliquée à froid, surface verticale et pont (</w:t>
      </w:r>
      <w:proofErr w:type="spellStart"/>
      <w:r>
        <w:rPr>
          <w:rFonts w:eastAsia="Arial"/>
          <w:lang w:val="fr-CA"/>
        </w:rPr>
        <w:t>TremPROOF</w:t>
      </w:r>
      <w:proofErr w:type="spellEnd"/>
      <w:r>
        <w:rPr>
          <w:rFonts w:eastAsia="Arial"/>
          <w:lang w:val="fr-CA"/>
        </w:rPr>
        <w:t> 250GC)</w:t>
      </w:r>
    </w:p>
    <w:p w14:paraId="71EBD82C" w14:textId="77777777" w:rsidR="00EE1DF9" w:rsidRDefault="0044630F">
      <w:pPr>
        <w:pStyle w:val="BodyText"/>
        <w:contextualSpacing/>
      </w:pPr>
      <w:r>
        <w:rPr>
          <w:rFonts w:eastAsia="Arial"/>
          <w:lang w:val="fr-CA"/>
        </w:rPr>
        <w:t>• Section 07 14 16.02 Imperméabilisation appliquée à froid, surface verticale (</w:t>
      </w:r>
      <w:proofErr w:type="spellStart"/>
      <w:r>
        <w:rPr>
          <w:rFonts w:eastAsia="Arial"/>
          <w:lang w:val="fr-CA"/>
        </w:rPr>
        <w:t>TremPROOF</w:t>
      </w:r>
      <w:proofErr w:type="spellEnd"/>
      <w:r>
        <w:rPr>
          <w:rFonts w:eastAsia="Arial"/>
          <w:lang w:val="fr-CA"/>
        </w:rPr>
        <w:t> 250GC)</w:t>
      </w:r>
    </w:p>
    <w:p w14:paraId="7FD11474" w14:textId="77777777" w:rsidR="00EE1DF9" w:rsidRDefault="0044630F">
      <w:pPr>
        <w:pStyle w:val="BodyText"/>
        <w:contextualSpacing/>
      </w:pPr>
      <w:r>
        <w:rPr>
          <w:rFonts w:eastAsia="Arial"/>
          <w:lang w:val="fr-CA"/>
        </w:rPr>
        <w:t>•</w:t>
      </w:r>
      <w:r>
        <w:rPr>
          <w:rFonts w:eastAsia="Arial"/>
          <w:lang w:val="fr-CA"/>
        </w:rPr>
        <w:t xml:space="preserve"> Section 07 14 16.03 Imperméabilisation appliquée à froid, pont (</w:t>
      </w:r>
      <w:proofErr w:type="spellStart"/>
      <w:r>
        <w:rPr>
          <w:rFonts w:eastAsia="Arial"/>
          <w:lang w:val="fr-CA"/>
        </w:rPr>
        <w:t>TremPROOF</w:t>
      </w:r>
      <w:proofErr w:type="spellEnd"/>
      <w:r>
        <w:rPr>
          <w:rFonts w:eastAsia="Arial"/>
          <w:lang w:val="fr-CA"/>
        </w:rPr>
        <w:t> 250GC)</w:t>
      </w:r>
    </w:p>
    <w:p w14:paraId="130AABBE" w14:textId="77777777" w:rsidR="00EE1DF9" w:rsidRDefault="0044630F">
      <w:pPr>
        <w:pStyle w:val="BodyText"/>
        <w:contextualSpacing/>
      </w:pPr>
      <w:r>
        <w:rPr>
          <w:rFonts w:eastAsia="Arial"/>
          <w:lang w:val="fr-CA"/>
        </w:rPr>
        <w:t>• Section 07 14 16.04 Imperméabilisation appliquée à froid, toit végétalisé (</w:t>
      </w:r>
      <w:proofErr w:type="spellStart"/>
      <w:r>
        <w:rPr>
          <w:rFonts w:eastAsia="Arial"/>
          <w:lang w:val="fr-CA"/>
        </w:rPr>
        <w:t>TremPROOF</w:t>
      </w:r>
      <w:proofErr w:type="spellEnd"/>
      <w:r>
        <w:rPr>
          <w:rFonts w:eastAsia="Arial"/>
          <w:lang w:val="fr-CA"/>
        </w:rPr>
        <w:t> 250GC)</w:t>
      </w:r>
    </w:p>
    <w:p w14:paraId="1B6B4668" w14:textId="77777777" w:rsidR="00EE1DF9" w:rsidRDefault="0044630F">
      <w:pPr>
        <w:pStyle w:val="BodyText"/>
        <w:contextualSpacing/>
      </w:pPr>
      <w:r>
        <w:rPr>
          <w:rFonts w:eastAsia="Arial"/>
          <w:lang w:val="fr-CA"/>
        </w:rPr>
        <w:t>• Section 07 17 16.01 Imperméabilisation à la bentonite (Paraseal)</w:t>
      </w:r>
    </w:p>
    <w:p w14:paraId="7D78C7F6" w14:textId="77777777" w:rsidR="00EE1DF9" w:rsidRDefault="0044630F">
      <w:pPr>
        <w:pStyle w:val="BodyText"/>
        <w:contextualSpacing/>
      </w:pPr>
      <w:r>
        <w:rPr>
          <w:rFonts w:eastAsia="Arial"/>
          <w:lang w:val="fr-CA"/>
        </w:rPr>
        <w:t xml:space="preserve">• </w:t>
      </w:r>
      <w:r>
        <w:rPr>
          <w:rFonts w:eastAsia="Arial"/>
          <w:lang w:val="fr-CA"/>
        </w:rPr>
        <w:t>Section 07 17 16.02 Imperméabilisation à la bentonite (Paraseal GM/LG 60 mil)</w:t>
      </w:r>
    </w:p>
    <w:p w14:paraId="1D9C33D0" w14:textId="77777777" w:rsidR="00EE1DF9" w:rsidRDefault="0044630F">
      <w:pPr>
        <w:pStyle w:val="BodyText"/>
        <w:contextualSpacing/>
      </w:pPr>
      <w:r>
        <w:rPr>
          <w:rFonts w:eastAsia="Arial"/>
          <w:lang w:val="fr-CA"/>
        </w:rPr>
        <w:t>• Section 07 18 00.01 Revêtements de circulation, véhicules</w:t>
      </w:r>
    </w:p>
    <w:p w14:paraId="0C7C6764" w14:textId="77777777" w:rsidR="00EE1DF9" w:rsidRDefault="0044630F">
      <w:pPr>
        <w:pStyle w:val="BodyText"/>
        <w:contextualSpacing/>
      </w:pPr>
      <w:r>
        <w:rPr>
          <w:rFonts w:eastAsia="Arial"/>
          <w:lang w:val="fr-CA"/>
        </w:rPr>
        <w:t>• Section 07 18 00.02 Revêtements de circulation, piétons</w:t>
      </w:r>
    </w:p>
    <w:p w14:paraId="1B971CFB" w14:textId="77777777" w:rsidR="00EE1DF9" w:rsidRDefault="0044630F">
      <w:pPr>
        <w:pStyle w:val="BodyText"/>
        <w:contextualSpacing/>
      </w:pPr>
      <w:r>
        <w:rPr>
          <w:rFonts w:eastAsia="Arial"/>
          <w:lang w:val="fr-CA"/>
        </w:rPr>
        <w:t xml:space="preserve">• Section 07 18 00.03 Revêtements de </w:t>
      </w:r>
      <w:r>
        <w:rPr>
          <w:rFonts w:eastAsia="Arial"/>
          <w:lang w:val="fr-CA"/>
        </w:rPr>
        <w:t>circulation, salles mécaniques</w:t>
      </w:r>
    </w:p>
    <w:p w14:paraId="0F3F7EC3" w14:textId="77777777" w:rsidR="00EE1DF9" w:rsidRDefault="0044630F">
      <w:pPr>
        <w:pStyle w:val="BodyText"/>
        <w:contextualSpacing/>
      </w:pPr>
      <w:r>
        <w:rPr>
          <w:rFonts w:eastAsia="Arial"/>
          <w:lang w:val="fr-CA"/>
        </w:rPr>
        <w:t>• Section 07 27 13 Pare-air en feuille bitumineuse modifiée, retardateur de vapeur (ExoAir 110)</w:t>
      </w:r>
    </w:p>
    <w:p w14:paraId="11EEAD73" w14:textId="77777777" w:rsidR="00EE1DF9" w:rsidRDefault="0044630F">
      <w:pPr>
        <w:pStyle w:val="BodyText"/>
        <w:contextualSpacing/>
      </w:pPr>
      <w:r>
        <w:rPr>
          <w:rFonts w:eastAsia="Arial"/>
          <w:lang w:val="fr-CA"/>
        </w:rPr>
        <w:t>• Section 07 27 23 Pare-air de produit en panneau, perméable à la vapeur (SECUREROCK ExoAir 230)</w:t>
      </w:r>
    </w:p>
    <w:p w14:paraId="0C80C782" w14:textId="77777777" w:rsidR="00EE1DF9" w:rsidRDefault="0044630F">
      <w:pPr>
        <w:pStyle w:val="BodyText"/>
        <w:contextualSpacing/>
      </w:pPr>
      <w:r>
        <w:rPr>
          <w:rFonts w:eastAsia="Arial"/>
          <w:lang w:val="fr-CA"/>
        </w:rPr>
        <w:t>• Section 07 27 26.01 pare-air e</w:t>
      </w:r>
      <w:r>
        <w:rPr>
          <w:rFonts w:eastAsia="Arial"/>
          <w:lang w:val="fr-CA"/>
        </w:rPr>
        <w:t>n membrane à application liquide, retardateur de vapeur (ExoAir 120)</w:t>
      </w:r>
    </w:p>
    <w:p w14:paraId="43727894" w14:textId="77777777" w:rsidR="00EE1DF9" w:rsidRDefault="0044630F">
      <w:pPr>
        <w:pStyle w:val="BodyText"/>
        <w:contextualSpacing/>
      </w:pPr>
      <w:r>
        <w:rPr>
          <w:rFonts w:eastAsia="Arial"/>
          <w:lang w:val="fr-CA"/>
        </w:rPr>
        <w:t>• Section 07 27 26.02 pare-air en membrane à application liquide, perméable à la vapeur (ExoAir 220)</w:t>
      </w:r>
    </w:p>
    <w:p w14:paraId="1988A201" w14:textId="77777777" w:rsidR="00EE1DF9" w:rsidRDefault="0044630F">
      <w:pPr>
        <w:pStyle w:val="BodyText"/>
        <w:contextualSpacing/>
      </w:pPr>
      <w:r>
        <w:rPr>
          <w:rFonts w:eastAsia="Arial"/>
          <w:lang w:val="fr-CA"/>
        </w:rPr>
        <w:t>• Section 07 27 26.03 pare-air en membrane à application liquide, perméable à la vapeu</w:t>
      </w:r>
      <w:r>
        <w:rPr>
          <w:rFonts w:eastAsia="Arial"/>
          <w:lang w:val="fr-CA"/>
        </w:rPr>
        <w:t>r (ExoAir 230)</w:t>
      </w:r>
    </w:p>
    <w:p w14:paraId="29BBCAD8" w14:textId="77777777" w:rsidR="00EE1DF9" w:rsidRDefault="0044630F">
      <w:pPr>
        <w:pStyle w:val="BodyText"/>
        <w:contextualSpacing/>
      </w:pPr>
      <w:r>
        <w:rPr>
          <w:rFonts w:eastAsia="Arial"/>
          <w:lang w:val="fr-CA"/>
        </w:rPr>
        <w:t>• Section 07 92 00 Enduits d’étanchéité pour joints</w:t>
      </w:r>
    </w:p>
    <w:p w14:paraId="24618914" w14:textId="77777777" w:rsidR="00EE1DF9" w:rsidRDefault="0044630F">
      <w:pPr>
        <w:pStyle w:val="BodyText"/>
        <w:contextualSpacing/>
      </w:pPr>
      <w:r>
        <w:rPr>
          <w:rFonts w:eastAsia="Arial"/>
          <w:lang w:val="fr-CA"/>
        </w:rPr>
        <w:t>• Section 08 85 00 Enduits d’étanchéité pour vitrage</w:t>
      </w:r>
    </w:p>
    <w:p w14:paraId="4CD4781E" w14:textId="77777777" w:rsidR="00EE1DF9" w:rsidRDefault="0044630F">
      <w:pPr>
        <w:pStyle w:val="BodyText"/>
        <w:contextualSpacing/>
      </w:pPr>
      <w:r>
        <w:rPr>
          <w:rFonts w:eastAsia="Arial"/>
          <w:lang w:val="fr-CA"/>
        </w:rPr>
        <w:t>• Section 32 13 73 Enduits d’étanchéité pour joints de dalles de béton</w:t>
      </w:r>
    </w:p>
    <w:p w14:paraId="0E10E50D" w14:textId="77777777" w:rsidR="00EE1DF9" w:rsidRDefault="00EE1DF9">
      <w:pPr>
        <w:pStyle w:val="BodyText"/>
        <w:contextualSpacing/>
      </w:pPr>
    </w:p>
    <w:p w14:paraId="392FE882" w14:textId="77777777" w:rsidR="00EE1DF9" w:rsidRDefault="0044630F">
      <w:pPr>
        <w:pStyle w:val="BodyText"/>
        <w:contextualSpacing/>
      </w:pPr>
      <w:r>
        <w:rPr>
          <w:rFonts w:eastAsia="Arial"/>
          <w:lang w:val="fr-CA"/>
        </w:rPr>
        <w:t>Ce document inclut les notes du spécificateur dans le texte masq</w:t>
      </w:r>
      <w:r>
        <w:rPr>
          <w:rFonts w:eastAsia="Arial"/>
          <w:lang w:val="fr-CA"/>
        </w:rPr>
        <w:t xml:space="preserve">ué. Pour consulter le texte masqué, </w:t>
      </w:r>
      <w:hyperlink r:id="rId11" w:history="1">
        <w:r>
          <w:rPr>
            <w:rFonts w:eastAsia="Arial"/>
            <w:u w:val="single"/>
            <w:lang w:val="fr-CA"/>
          </w:rPr>
          <w:t>www.bim.net/displaying-hidden-text-in-microsoft-word-step-by-step-instructions-for-windows-and-ma</w:t>
        </w:r>
        <w:r>
          <w:rPr>
            <w:rFonts w:eastAsia="Arial"/>
            <w:u w:val="single"/>
            <w:lang w:val="fr-CA"/>
          </w:rPr>
          <w:t>c/</w:t>
        </w:r>
      </w:hyperlink>
      <w:r>
        <w:rPr>
          <w:rFonts w:eastAsia="Arial"/>
          <w:lang w:val="fr-CA"/>
        </w:rPr>
        <w:t xml:space="preserve"> </w:t>
      </w:r>
    </w:p>
    <w:p w14:paraId="7DF79352" w14:textId="77777777" w:rsidR="00EE1DF9" w:rsidRDefault="00EE1DF9">
      <w:pPr>
        <w:pStyle w:val="BodyText"/>
        <w:rPr>
          <w:sz w:val="18"/>
        </w:rPr>
      </w:pPr>
    </w:p>
    <w:p w14:paraId="1DDBB7AA" w14:textId="77777777" w:rsidR="00EE1DF9" w:rsidRDefault="0044630F">
      <w:pPr>
        <w:pStyle w:val="BodyText"/>
        <w:contextualSpacing/>
        <w:rPr>
          <w:sz w:val="16"/>
        </w:rPr>
      </w:pPr>
      <w:proofErr w:type="spellStart"/>
      <w:r>
        <w:rPr>
          <w:rFonts w:eastAsia="Arial"/>
          <w:sz w:val="16"/>
          <w:szCs w:val="16"/>
          <w:lang w:val="fr-CA"/>
        </w:rPr>
        <w:t>Paraseal</w:t>
      </w:r>
      <w:r>
        <w:rPr>
          <w:rFonts w:eastAsia="Arial"/>
          <w:sz w:val="16"/>
          <w:szCs w:val="16"/>
          <w:vertAlign w:val="superscript"/>
          <w:lang w:val="fr-CA"/>
        </w:rPr>
        <w:t>MD</w:t>
      </w:r>
      <w:proofErr w:type="spellEnd"/>
      <w:r>
        <w:rPr>
          <w:rFonts w:eastAsia="Arial"/>
          <w:sz w:val="16"/>
          <w:szCs w:val="16"/>
          <w:lang w:val="fr-CA"/>
        </w:rPr>
        <w:t xml:space="preserve">, </w:t>
      </w:r>
      <w:proofErr w:type="spellStart"/>
      <w:r>
        <w:rPr>
          <w:rFonts w:eastAsia="Arial"/>
          <w:sz w:val="16"/>
          <w:szCs w:val="16"/>
          <w:lang w:val="fr-CA"/>
        </w:rPr>
        <w:t>TremPROOF</w:t>
      </w:r>
      <w:r>
        <w:rPr>
          <w:rFonts w:eastAsia="Arial"/>
          <w:sz w:val="16"/>
          <w:szCs w:val="16"/>
          <w:vertAlign w:val="superscript"/>
          <w:lang w:val="fr-CA"/>
        </w:rPr>
        <w:t>MD</w:t>
      </w:r>
      <w:proofErr w:type="spellEnd"/>
      <w:r>
        <w:rPr>
          <w:rFonts w:eastAsia="Arial"/>
          <w:sz w:val="16"/>
          <w:szCs w:val="16"/>
          <w:lang w:val="fr-CA"/>
        </w:rPr>
        <w:t xml:space="preserve">, </w:t>
      </w:r>
      <w:proofErr w:type="spellStart"/>
      <w:r>
        <w:rPr>
          <w:rFonts w:eastAsia="Arial"/>
          <w:sz w:val="16"/>
          <w:szCs w:val="16"/>
          <w:lang w:val="fr-CA"/>
        </w:rPr>
        <w:t>ExoAir</w:t>
      </w:r>
      <w:r>
        <w:rPr>
          <w:rFonts w:eastAsia="Arial"/>
          <w:sz w:val="16"/>
          <w:szCs w:val="16"/>
          <w:vertAlign w:val="superscript"/>
          <w:lang w:val="fr-CA"/>
        </w:rPr>
        <w:t>MD</w:t>
      </w:r>
      <w:proofErr w:type="spellEnd"/>
      <w:r>
        <w:rPr>
          <w:rFonts w:eastAsia="Arial"/>
          <w:sz w:val="16"/>
          <w:szCs w:val="16"/>
          <w:lang w:val="fr-CA"/>
        </w:rPr>
        <w:t xml:space="preserve">, </w:t>
      </w:r>
      <w:proofErr w:type="spellStart"/>
      <w:r>
        <w:rPr>
          <w:rFonts w:eastAsia="Arial"/>
          <w:sz w:val="16"/>
          <w:szCs w:val="16"/>
          <w:lang w:val="fr-CA"/>
        </w:rPr>
        <w:t>Spectrem</w:t>
      </w:r>
      <w:r>
        <w:rPr>
          <w:rFonts w:eastAsia="Arial"/>
          <w:sz w:val="16"/>
          <w:szCs w:val="16"/>
          <w:vertAlign w:val="superscript"/>
          <w:lang w:val="fr-CA"/>
        </w:rPr>
        <w:t>MD</w:t>
      </w:r>
      <w:proofErr w:type="spellEnd"/>
      <w:r>
        <w:rPr>
          <w:rFonts w:eastAsia="Arial"/>
          <w:sz w:val="16"/>
          <w:szCs w:val="16"/>
          <w:lang w:val="fr-CA"/>
        </w:rPr>
        <w:t xml:space="preserve">, </w:t>
      </w:r>
      <w:proofErr w:type="spellStart"/>
      <w:r>
        <w:rPr>
          <w:rFonts w:eastAsia="Arial"/>
          <w:sz w:val="16"/>
          <w:szCs w:val="16"/>
          <w:lang w:val="fr-CA"/>
        </w:rPr>
        <w:t>Tremflex</w:t>
      </w:r>
      <w:r>
        <w:rPr>
          <w:rFonts w:eastAsia="Arial"/>
          <w:sz w:val="16"/>
          <w:szCs w:val="16"/>
          <w:vertAlign w:val="superscript"/>
          <w:lang w:val="fr-CA"/>
        </w:rPr>
        <w:t>MD</w:t>
      </w:r>
      <w:proofErr w:type="spellEnd"/>
      <w:r>
        <w:rPr>
          <w:rFonts w:eastAsia="Arial"/>
          <w:sz w:val="16"/>
          <w:szCs w:val="16"/>
          <w:lang w:val="fr-CA"/>
        </w:rPr>
        <w:t xml:space="preserve">, </w:t>
      </w:r>
      <w:proofErr w:type="spellStart"/>
      <w:r>
        <w:rPr>
          <w:rFonts w:eastAsia="Arial"/>
          <w:sz w:val="16"/>
          <w:szCs w:val="16"/>
          <w:lang w:val="fr-CA"/>
        </w:rPr>
        <w:t>Dymeric</w:t>
      </w:r>
      <w:r>
        <w:rPr>
          <w:rFonts w:eastAsia="Arial"/>
          <w:sz w:val="16"/>
          <w:szCs w:val="16"/>
          <w:vertAlign w:val="superscript"/>
          <w:lang w:val="fr-CA"/>
        </w:rPr>
        <w:t>MD</w:t>
      </w:r>
      <w:proofErr w:type="spellEnd"/>
      <w:r>
        <w:rPr>
          <w:rFonts w:eastAsia="Arial"/>
          <w:sz w:val="16"/>
          <w:szCs w:val="16"/>
          <w:lang w:val="fr-CA"/>
        </w:rPr>
        <w:t xml:space="preserve"> et </w:t>
      </w:r>
      <w:proofErr w:type="spellStart"/>
      <w:r>
        <w:rPr>
          <w:rFonts w:eastAsia="Arial"/>
          <w:sz w:val="16"/>
          <w:szCs w:val="16"/>
          <w:lang w:val="fr-CA"/>
        </w:rPr>
        <w:t>Proglaze</w:t>
      </w:r>
      <w:r>
        <w:rPr>
          <w:rFonts w:eastAsia="Arial"/>
          <w:sz w:val="16"/>
          <w:szCs w:val="16"/>
          <w:vertAlign w:val="superscript"/>
          <w:lang w:val="fr-CA"/>
        </w:rPr>
        <w:t>MD</w:t>
      </w:r>
      <w:proofErr w:type="spellEnd"/>
      <w:r>
        <w:rPr>
          <w:rFonts w:eastAsia="Arial"/>
          <w:sz w:val="16"/>
          <w:szCs w:val="16"/>
          <w:lang w:val="fr-CA"/>
        </w:rPr>
        <w:t xml:space="preserve"> sont des marques déposées de Tremco, Inc.</w:t>
      </w:r>
    </w:p>
    <w:p w14:paraId="1121A670" w14:textId="77777777" w:rsidR="00EE1DF9" w:rsidRDefault="0044630F">
      <w:pPr>
        <w:pStyle w:val="BodyText"/>
        <w:contextualSpacing/>
        <w:rPr>
          <w:sz w:val="16"/>
        </w:rPr>
      </w:pPr>
      <w:r>
        <w:rPr>
          <w:rFonts w:eastAsia="Arial"/>
          <w:sz w:val="16"/>
          <w:szCs w:val="16"/>
          <w:lang w:val="fr-CA"/>
        </w:rPr>
        <w:t>SECUREROCK</w:t>
      </w:r>
      <w:r>
        <w:rPr>
          <w:rFonts w:eastAsia="Arial"/>
          <w:sz w:val="16"/>
          <w:szCs w:val="16"/>
          <w:vertAlign w:val="superscript"/>
          <w:lang w:val="fr-CA"/>
        </w:rPr>
        <w:t>MD</w:t>
      </w:r>
      <w:r>
        <w:rPr>
          <w:rFonts w:eastAsia="Arial"/>
          <w:sz w:val="16"/>
          <w:szCs w:val="16"/>
          <w:lang w:val="fr-CA"/>
        </w:rPr>
        <w:t xml:space="preserve"> est une marque déposée de United States </w:t>
      </w:r>
      <w:proofErr w:type="spellStart"/>
      <w:r>
        <w:rPr>
          <w:rFonts w:eastAsia="Arial"/>
          <w:sz w:val="16"/>
          <w:szCs w:val="16"/>
          <w:lang w:val="fr-CA"/>
        </w:rPr>
        <w:t>Gypsum</w:t>
      </w:r>
      <w:proofErr w:type="spellEnd"/>
      <w:r>
        <w:rPr>
          <w:rFonts w:eastAsia="Arial"/>
          <w:sz w:val="16"/>
          <w:szCs w:val="16"/>
          <w:lang w:val="fr-CA"/>
        </w:rPr>
        <w:t xml:space="preserve"> </w:t>
      </w:r>
      <w:proofErr w:type="spellStart"/>
      <w:r>
        <w:rPr>
          <w:rFonts w:eastAsia="Arial"/>
          <w:sz w:val="16"/>
          <w:szCs w:val="16"/>
          <w:lang w:val="fr-CA"/>
        </w:rPr>
        <w:t>Company</w:t>
      </w:r>
      <w:proofErr w:type="spellEnd"/>
      <w:r>
        <w:rPr>
          <w:rFonts w:eastAsia="Arial"/>
          <w:sz w:val="16"/>
          <w:szCs w:val="16"/>
          <w:lang w:val="fr-CA"/>
        </w:rPr>
        <w:t>.</w:t>
      </w:r>
    </w:p>
    <w:p w14:paraId="52FADA92" w14:textId="77777777" w:rsidR="00EE1DF9" w:rsidRDefault="0044630F">
      <w:pPr>
        <w:pStyle w:val="BodyText"/>
        <w:rPr>
          <w:sz w:val="16"/>
        </w:rPr>
      </w:pPr>
      <w:r>
        <w:rPr>
          <w:rFonts w:eastAsia="Arial"/>
          <w:sz w:val="16"/>
          <w:szCs w:val="16"/>
          <w:lang w:val="fr-CA"/>
        </w:rPr>
        <w:t>Tous droits réservés</w:t>
      </w:r>
      <w:r>
        <w:rPr>
          <w:rFonts w:eastAsia="Arial"/>
          <w:sz w:val="16"/>
          <w:szCs w:val="16"/>
          <w:vertAlign w:val="superscript"/>
          <w:lang w:val="fr-CA"/>
        </w:rPr>
        <w:t>©</w:t>
      </w:r>
      <w:r>
        <w:rPr>
          <w:rFonts w:eastAsia="Arial"/>
          <w:sz w:val="16"/>
          <w:szCs w:val="16"/>
          <w:lang w:val="fr-CA"/>
        </w:rPr>
        <w:t xml:space="preserve"> de ce document en 2014 par Tremco, </w:t>
      </w:r>
      <w:r>
        <w:rPr>
          <w:rFonts w:eastAsia="Arial"/>
          <w:sz w:val="16"/>
          <w:szCs w:val="16"/>
          <w:lang w:val="fr-CA"/>
        </w:rPr>
        <w:t>Inc.</w:t>
      </w:r>
    </w:p>
    <w:p w14:paraId="7CA0029B" w14:textId="77777777" w:rsidR="00EE1DF9" w:rsidRDefault="0044630F">
      <w:pPr>
        <w:pStyle w:val="SCT"/>
      </w:pPr>
      <w:r>
        <w:rPr>
          <w:rFonts w:eastAsia="Arial"/>
          <w:lang w:val="fr-CA"/>
        </w:rPr>
        <w:br w:type="page"/>
      </w:r>
      <w:bookmarkStart w:id="2" w:name="OLE_LINK3"/>
      <w:bookmarkStart w:id="3" w:name="OLE_LINK4"/>
      <w:r>
        <w:rPr>
          <w:rFonts w:eastAsia="Arial"/>
          <w:lang w:val="fr-CA"/>
        </w:rPr>
        <w:lastRenderedPageBreak/>
        <w:t xml:space="preserve">SECTION 07 18 00 : </w:t>
      </w:r>
      <w:bookmarkEnd w:id="0"/>
      <w:bookmarkEnd w:id="1"/>
      <w:bookmarkEnd w:id="2"/>
      <w:bookmarkEnd w:id="3"/>
      <w:r>
        <w:rPr>
          <w:rFonts w:eastAsia="Arial"/>
          <w:lang w:val="fr-CA"/>
        </w:rPr>
        <w:t>REVÊTEMENTS DE CIRCULATION, CIRCULATION DE VÉHICULES</w:t>
      </w:r>
    </w:p>
    <w:p w14:paraId="2190DFE8" w14:textId="77777777" w:rsidR="00EE1DF9" w:rsidRDefault="0044630F">
      <w:pPr>
        <w:pStyle w:val="PRT"/>
      </w:pPr>
      <w:r>
        <w:rPr>
          <w:rFonts w:eastAsia="Arial"/>
          <w:lang w:val="fr-CA"/>
        </w:rPr>
        <w:t>Partie 1 : GÉNÉRALITÉS</w:t>
      </w:r>
    </w:p>
    <w:p w14:paraId="4DEA9AD3" w14:textId="77777777" w:rsidR="00EE1DF9" w:rsidRDefault="0044630F">
      <w:pPr>
        <w:pStyle w:val="ART"/>
      </w:pPr>
      <w:r>
        <w:rPr>
          <w:rFonts w:eastAsia="Arial"/>
          <w:lang w:val="fr-CA"/>
        </w:rPr>
        <w:t>LA SECTION COMPREND</w:t>
      </w:r>
    </w:p>
    <w:p w14:paraId="3C427ECC" w14:textId="77777777" w:rsidR="00EE1DF9" w:rsidRDefault="0044630F">
      <w:pPr>
        <w:pStyle w:val="PR2"/>
        <w:spacing w:before="240"/>
      </w:pPr>
      <w:r>
        <w:rPr>
          <w:rFonts w:eastAsia="Arial"/>
          <w:lang w:val="fr-CA"/>
        </w:rPr>
        <w:t>Revêtements de circulation en polyuréthane pour les applications de circulation de véhicules.</w:t>
      </w:r>
    </w:p>
    <w:p w14:paraId="5E073265" w14:textId="77777777" w:rsidR="00EE1DF9" w:rsidRDefault="0044630F">
      <w:pPr>
        <w:pStyle w:val="PR2"/>
      </w:pPr>
      <w:r>
        <w:rPr>
          <w:rFonts w:eastAsia="Arial"/>
          <w:lang w:val="fr-CA"/>
        </w:rPr>
        <w:t>Marquages sur la chaussée.</w:t>
      </w:r>
    </w:p>
    <w:p w14:paraId="5525482C" w14:textId="77777777" w:rsidR="00EE1DF9" w:rsidRDefault="0044630F">
      <w:pPr>
        <w:pStyle w:val="ART"/>
      </w:pPr>
      <w:r>
        <w:rPr>
          <w:rFonts w:eastAsia="Arial"/>
          <w:lang w:val="fr-CA"/>
        </w:rPr>
        <w:t>EXIGENCES CONN</w:t>
      </w:r>
      <w:r>
        <w:rPr>
          <w:rFonts w:eastAsia="Arial"/>
          <w:lang w:val="fr-CA"/>
        </w:rPr>
        <w:t>EXES</w:t>
      </w:r>
    </w:p>
    <w:p w14:paraId="124EA704" w14:textId="77777777" w:rsidR="00EE1DF9" w:rsidRDefault="0044630F">
      <w:pPr>
        <w:pStyle w:val="CMT"/>
      </w:pPr>
      <w:r>
        <w:t>Specifier: If retaining this optional Related Requirements Article, edit to include only those sections included in project manual.</w:t>
      </w:r>
    </w:p>
    <w:p w14:paraId="6E69EE8F" w14:textId="77777777" w:rsidR="00EE1DF9" w:rsidRDefault="0044630F">
      <w:pPr>
        <w:pStyle w:val="PR2"/>
        <w:spacing w:before="240"/>
        <w:outlineLvl w:val="9"/>
      </w:pPr>
      <w:r>
        <w:rPr>
          <w:rFonts w:eastAsia="Arial"/>
          <w:lang w:val="fr-CA"/>
        </w:rPr>
        <w:t xml:space="preserve">Section 03 31 00 « Béton coulé sur place » pour le durcissement à l’humidité du substrat de revêtement de </w:t>
      </w:r>
      <w:r>
        <w:rPr>
          <w:rFonts w:eastAsia="Arial"/>
          <w:lang w:val="fr-CA"/>
        </w:rPr>
        <w:t>circulation en béton.</w:t>
      </w:r>
    </w:p>
    <w:p w14:paraId="70F1E74C" w14:textId="77777777" w:rsidR="00EE1DF9" w:rsidRDefault="0044630F">
      <w:pPr>
        <w:pStyle w:val="PR2"/>
        <w:outlineLvl w:val="9"/>
      </w:pPr>
      <w:r>
        <w:rPr>
          <w:rFonts w:eastAsia="Arial"/>
          <w:lang w:val="fr-CA"/>
        </w:rPr>
        <w:t>Section 07 92 00 « Enduits d’étanchéité pour joints » pour les enduits d’étanchéité et accessoires pour joints et préparation de joints.</w:t>
      </w:r>
    </w:p>
    <w:p w14:paraId="0B43387D" w14:textId="77777777" w:rsidR="00EE1DF9" w:rsidRDefault="0044630F">
      <w:pPr>
        <w:pStyle w:val="PR2"/>
        <w:rPr>
          <w:lang w:val="en-US"/>
        </w:rPr>
      </w:pPr>
      <w:r>
        <w:rPr>
          <w:rFonts w:eastAsia="Arial" w:cs="Arial"/>
          <w:lang w:val="fr-CA"/>
        </w:rPr>
        <w:t>Sections 07 90 00/07 95 00 Protection des joints/contrôle de l’expansion</w:t>
      </w:r>
    </w:p>
    <w:p w14:paraId="2CDAB9DA" w14:textId="77777777" w:rsidR="00EE1DF9" w:rsidRDefault="00EE1DF9">
      <w:pPr>
        <w:pStyle w:val="PR2"/>
        <w:numPr>
          <w:ilvl w:val="5"/>
          <w:numId w:val="0"/>
        </w:numPr>
        <w:ind w:left="864"/>
        <w:rPr>
          <w:lang w:val="en-US"/>
        </w:rPr>
      </w:pPr>
    </w:p>
    <w:p w14:paraId="5E189AA3" w14:textId="77777777" w:rsidR="00EE1DF9" w:rsidRDefault="0044630F">
      <w:pPr>
        <w:pStyle w:val="ART"/>
      </w:pPr>
      <w:r>
        <w:rPr>
          <w:rFonts w:eastAsia="Arial"/>
          <w:lang w:val="fr-CA"/>
        </w:rPr>
        <w:t>RÉFÉRENCES</w:t>
      </w:r>
    </w:p>
    <w:p w14:paraId="70F15320" w14:textId="77777777" w:rsidR="00EE1DF9" w:rsidRDefault="0044630F">
      <w:pPr>
        <w:pStyle w:val="CMT"/>
      </w:pPr>
      <w:r>
        <w:t>Specifier: I</w:t>
      </w:r>
      <w:r>
        <w:t>f retaining this optional References Article, edit to include only those references cited in the edited section.</w:t>
      </w:r>
    </w:p>
    <w:p w14:paraId="750EF2C0" w14:textId="77777777" w:rsidR="00EE1DF9" w:rsidRDefault="0044630F">
      <w:pPr>
        <w:pStyle w:val="PR1"/>
      </w:pPr>
      <w:r>
        <w:rPr>
          <w:rFonts w:eastAsia="Arial"/>
          <w:lang w:val="fr-CA"/>
        </w:rPr>
        <w:t xml:space="preserve">Références, Généralités : Les versions des normes suivantes en vigueur à la date de délivrance du projet s’appliquent aux travaux de la </w:t>
      </w:r>
      <w:r>
        <w:rPr>
          <w:rFonts w:eastAsia="Arial"/>
          <w:lang w:val="fr-CA"/>
        </w:rPr>
        <w:t>présente section.</w:t>
      </w:r>
    </w:p>
    <w:p w14:paraId="5983A0F7" w14:textId="77777777" w:rsidR="00EE1DF9" w:rsidRDefault="0044630F">
      <w:pPr>
        <w:pStyle w:val="PR1"/>
      </w:pPr>
      <w:r>
        <w:rPr>
          <w:rFonts w:eastAsia="Arial"/>
          <w:lang w:val="fr-CA"/>
        </w:rPr>
        <w:t xml:space="preserve">ASTM International (ASTM) : </w:t>
      </w:r>
      <w:hyperlink r:id="rId12" w:history="1">
        <w:r>
          <w:rPr>
            <w:rFonts w:eastAsia="Arial"/>
            <w:color w:val="0000FF"/>
            <w:u w:val="single"/>
            <w:lang w:val="fr-CA"/>
          </w:rPr>
          <w:t>www.astm.org</w:t>
        </w:r>
      </w:hyperlink>
      <w:r>
        <w:rPr>
          <w:rFonts w:eastAsia="Arial"/>
          <w:lang w:val="fr-CA"/>
        </w:rPr>
        <w:t> :</w:t>
      </w:r>
    </w:p>
    <w:p w14:paraId="29C30F41" w14:textId="77777777" w:rsidR="00EE1DF9" w:rsidRDefault="0044630F">
      <w:pPr>
        <w:pStyle w:val="PR2"/>
        <w:spacing w:before="240"/>
      </w:pPr>
      <w:r>
        <w:rPr>
          <w:rFonts w:eastAsia="Arial"/>
          <w:lang w:val="fr-CA"/>
        </w:rPr>
        <w:t xml:space="preserve">ASTM C920 : Spécification standard pour les enduits d’étanchéité de joints </w:t>
      </w:r>
      <w:proofErr w:type="spellStart"/>
      <w:r>
        <w:rPr>
          <w:rFonts w:eastAsia="Arial"/>
          <w:lang w:val="fr-CA"/>
        </w:rPr>
        <w:t>élastomériques</w:t>
      </w:r>
      <w:proofErr w:type="spellEnd"/>
    </w:p>
    <w:p w14:paraId="3B2CFD31" w14:textId="77777777" w:rsidR="00EE1DF9" w:rsidRDefault="0044630F">
      <w:pPr>
        <w:pStyle w:val="PR2"/>
      </w:pPr>
      <w:r>
        <w:rPr>
          <w:rFonts w:eastAsia="Arial"/>
          <w:lang w:val="fr-CA"/>
        </w:rPr>
        <w:t xml:space="preserve">ASTM C957 : Spécification standard pour la membrane d’étanchéité </w:t>
      </w:r>
      <w:proofErr w:type="spellStart"/>
      <w:r>
        <w:rPr>
          <w:rFonts w:eastAsia="Arial"/>
          <w:lang w:val="fr-CA"/>
        </w:rPr>
        <w:t>élas</w:t>
      </w:r>
      <w:r>
        <w:rPr>
          <w:rFonts w:eastAsia="Arial"/>
          <w:lang w:val="fr-CA"/>
        </w:rPr>
        <w:t>tomérique</w:t>
      </w:r>
      <w:proofErr w:type="spellEnd"/>
      <w:r>
        <w:rPr>
          <w:rFonts w:eastAsia="Arial"/>
          <w:lang w:val="fr-CA"/>
        </w:rPr>
        <w:t xml:space="preserve"> appliquée à froid et à forte teneur en solides avec une surface avec surface d’usure intégrale</w:t>
      </w:r>
    </w:p>
    <w:p w14:paraId="47FA0CB4" w14:textId="77777777" w:rsidR="00EE1DF9" w:rsidRDefault="0044630F">
      <w:pPr>
        <w:pStyle w:val="PR2"/>
      </w:pPr>
      <w:r>
        <w:rPr>
          <w:rFonts w:eastAsia="Arial"/>
          <w:lang w:val="fr-CA"/>
        </w:rPr>
        <w:t xml:space="preserve">ASTM C1127 : Guide standard pour l’utilisation de membranes d’étanchéité </w:t>
      </w:r>
      <w:proofErr w:type="spellStart"/>
      <w:r>
        <w:rPr>
          <w:rFonts w:eastAsia="Arial"/>
          <w:lang w:val="fr-CA"/>
        </w:rPr>
        <w:t>élastomérique</w:t>
      </w:r>
      <w:proofErr w:type="spellEnd"/>
      <w:r>
        <w:rPr>
          <w:rFonts w:eastAsia="Arial"/>
          <w:lang w:val="fr-CA"/>
        </w:rPr>
        <w:t xml:space="preserve"> appliquées à froid et à forte teneur en solides avec une surface</w:t>
      </w:r>
      <w:r>
        <w:rPr>
          <w:rFonts w:eastAsia="Arial"/>
          <w:lang w:val="fr-CA"/>
        </w:rPr>
        <w:t xml:space="preserve"> avec une surface d’usure intégrale</w:t>
      </w:r>
    </w:p>
    <w:p w14:paraId="5EC62F4E" w14:textId="77777777" w:rsidR="00EE1DF9" w:rsidRDefault="0044630F">
      <w:pPr>
        <w:pStyle w:val="PR2"/>
      </w:pPr>
      <w:r>
        <w:rPr>
          <w:rFonts w:eastAsia="Arial"/>
          <w:lang w:val="fr-CA"/>
        </w:rPr>
        <w:t>ASTM C1193 : Guide standard pour l’utilisation des enduits d’étanchéité de joints</w:t>
      </w:r>
    </w:p>
    <w:p w14:paraId="74119BF9" w14:textId="77777777" w:rsidR="00EE1DF9" w:rsidRDefault="0044630F">
      <w:pPr>
        <w:pStyle w:val="PR2"/>
      </w:pPr>
      <w:r>
        <w:rPr>
          <w:rFonts w:eastAsia="Arial"/>
          <w:lang w:val="fr-CA"/>
        </w:rPr>
        <w:t>ASTM D4258 : Pratique standard pour le nettoyage de surface du béton pour le revêtement</w:t>
      </w:r>
    </w:p>
    <w:p w14:paraId="62999B16" w14:textId="77777777" w:rsidR="00EE1DF9" w:rsidRDefault="0044630F">
      <w:pPr>
        <w:pStyle w:val="PR2"/>
      </w:pPr>
      <w:r>
        <w:rPr>
          <w:rFonts w:eastAsia="Arial"/>
          <w:lang w:val="fr-CA"/>
        </w:rPr>
        <w:t xml:space="preserve">ASTM D4259 : Pratique standard pour l’abrasion du </w:t>
      </w:r>
      <w:r>
        <w:rPr>
          <w:rFonts w:eastAsia="Arial"/>
          <w:lang w:val="fr-CA"/>
        </w:rPr>
        <w:t>béton</w:t>
      </w:r>
    </w:p>
    <w:p w14:paraId="39DF901B" w14:textId="77777777" w:rsidR="00EE1DF9" w:rsidRDefault="0044630F">
      <w:pPr>
        <w:pStyle w:val="PR2"/>
      </w:pPr>
      <w:r>
        <w:rPr>
          <w:rFonts w:eastAsia="Arial"/>
          <w:lang w:val="fr-CA"/>
        </w:rPr>
        <w:t xml:space="preserve">ASTM E1980 : Pratique standard pour calculer l’indice de réflexion solaire des surfaces opaques horizontales et à faible pente </w:t>
      </w:r>
    </w:p>
    <w:p w14:paraId="50A831FA" w14:textId="77777777" w:rsidR="00EE1DF9" w:rsidRDefault="0044630F">
      <w:pPr>
        <w:pStyle w:val="PR1"/>
      </w:pPr>
      <w:r>
        <w:rPr>
          <w:rFonts w:eastAsia="Arial"/>
          <w:lang w:val="fr-CA"/>
        </w:rPr>
        <w:t xml:space="preserve">International </w:t>
      </w:r>
      <w:proofErr w:type="spellStart"/>
      <w:r>
        <w:rPr>
          <w:rFonts w:eastAsia="Arial"/>
          <w:lang w:val="fr-CA"/>
        </w:rPr>
        <w:t>Concrete</w:t>
      </w:r>
      <w:proofErr w:type="spellEnd"/>
      <w:r>
        <w:rPr>
          <w:rFonts w:eastAsia="Arial"/>
          <w:lang w:val="fr-CA"/>
        </w:rPr>
        <w:t xml:space="preserve"> </w:t>
      </w:r>
      <w:proofErr w:type="spellStart"/>
      <w:r>
        <w:rPr>
          <w:rFonts w:eastAsia="Arial"/>
          <w:lang w:val="fr-CA"/>
        </w:rPr>
        <w:t>Repair</w:t>
      </w:r>
      <w:proofErr w:type="spellEnd"/>
      <w:r>
        <w:rPr>
          <w:rFonts w:eastAsia="Arial"/>
          <w:lang w:val="fr-CA"/>
        </w:rPr>
        <w:t xml:space="preserve"> Institute (ICRI) : </w:t>
      </w:r>
      <w:hyperlink r:id="rId13" w:history="1">
        <w:r>
          <w:rPr>
            <w:rFonts w:eastAsia="Arial"/>
            <w:color w:val="0000FF"/>
            <w:u w:val="single"/>
            <w:lang w:val="fr-CA"/>
          </w:rPr>
          <w:t>www.icri.org</w:t>
        </w:r>
      </w:hyperlink>
      <w:r>
        <w:rPr>
          <w:rFonts w:eastAsia="Arial"/>
          <w:lang w:val="fr-CA"/>
        </w:rPr>
        <w:t xml:space="preserve"> : </w:t>
      </w:r>
    </w:p>
    <w:p w14:paraId="5F921950" w14:textId="77777777" w:rsidR="00EE1DF9" w:rsidRDefault="0044630F">
      <w:pPr>
        <w:pStyle w:val="PR2"/>
        <w:spacing w:before="240"/>
      </w:pPr>
      <w:r>
        <w:rPr>
          <w:rFonts w:eastAsia="Arial"/>
          <w:lang w:val="fr-CA"/>
        </w:rPr>
        <w:t>ICRI 310.2R : Sélecti</w:t>
      </w:r>
      <w:r>
        <w:rPr>
          <w:rFonts w:eastAsia="Arial"/>
          <w:lang w:val="fr-CA"/>
        </w:rPr>
        <w:t>on et spécification de la préparation de la surface du béton pour les enduits d’étanchéité, les revêtements, les recouvrements en polymère et la réparation du béton</w:t>
      </w:r>
    </w:p>
    <w:p w14:paraId="02E1F592" w14:textId="77777777" w:rsidR="00EE1DF9" w:rsidRDefault="0044630F">
      <w:pPr>
        <w:pStyle w:val="PR1"/>
      </w:pPr>
      <w:proofErr w:type="spellStart"/>
      <w:r>
        <w:rPr>
          <w:rFonts w:eastAsia="Arial"/>
          <w:lang w:val="fr-CA"/>
        </w:rPr>
        <w:t>Sealant</w:t>
      </w:r>
      <w:proofErr w:type="spellEnd"/>
      <w:r>
        <w:rPr>
          <w:rFonts w:eastAsia="Arial"/>
          <w:lang w:val="fr-CA"/>
        </w:rPr>
        <w:t xml:space="preserve">, </w:t>
      </w:r>
      <w:proofErr w:type="spellStart"/>
      <w:r>
        <w:rPr>
          <w:rFonts w:eastAsia="Arial"/>
          <w:lang w:val="fr-CA"/>
        </w:rPr>
        <w:t>Waterproofing</w:t>
      </w:r>
      <w:proofErr w:type="spellEnd"/>
      <w:r>
        <w:rPr>
          <w:rFonts w:eastAsia="Arial"/>
          <w:lang w:val="fr-CA"/>
        </w:rPr>
        <w:t xml:space="preserve">, and </w:t>
      </w:r>
      <w:proofErr w:type="spellStart"/>
      <w:r>
        <w:rPr>
          <w:rFonts w:eastAsia="Arial"/>
          <w:lang w:val="fr-CA"/>
        </w:rPr>
        <w:t>Restoration</w:t>
      </w:r>
      <w:proofErr w:type="spellEnd"/>
      <w:r>
        <w:rPr>
          <w:rFonts w:eastAsia="Arial"/>
          <w:lang w:val="fr-CA"/>
        </w:rPr>
        <w:t xml:space="preserve"> Institute (SWRI) : </w:t>
      </w:r>
      <w:hyperlink r:id="rId14" w:history="1">
        <w:r>
          <w:rPr>
            <w:rFonts w:eastAsia="Arial"/>
            <w:color w:val="0000FF"/>
            <w:u w:val="single"/>
            <w:lang w:val="fr-CA"/>
          </w:rPr>
          <w:t>www.swrionline.org</w:t>
        </w:r>
      </w:hyperlink>
      <w:r>
        <w:rPr>
          <w:rFonts w:eastAsia="Arial"/>
          <w:lang w:val="fr-CA"/>
        </w:rPr>
        <w:t xml:space="preserve"> : </w:t>
      </w:r>
    </w:p>
    <w:p w14:paraId="31969DE8" w14:textId="77777777" w:rsidR="00EE1DF9" w:rsidRDefault="0044630F">
      <w:pPr>
        <w:pStyle w:val="PR2"/>
        <w:spacing w:before="240"/>
      </w:pPr>
      <w:r>
        <w:rPr>
          <w:rFonts w:eastAsia="Arial"/>
          <w:lang w:val="fr-CA"/>
        </w:rPr>
        <w:t>Programme de validation de l’institut SWR</w:t>
      </w:r>
    </w:p>
    <w:p w14:paraId="7A34AC24" w14:textId="77777777" w:rsidR="00EE1DF9" w:rsidRDefault="0044630F">
      <w:pPr>
        <w:pStyle w:val="PR1"/>
      </w:pPr>
      <w:r>
        <w:rPr>
          <w:rFonts w:eastAsia="Arial"/>
          <w:lang w:val="fr-CA"/>
        </w:rPr>
        <w:t xml:space="preserve">UL </w:t>
      </w:r>
      <w:proofErr w:type="spellStart"/>
      <w:r>
        <w:rPr>
          <w:rFonts w:eastAsia="Arial"/>
          <w:lang w:val="fr-CA"/>
        </w:rPr>
        <w:t>Laboratories</w:t>
      </w:r>
      <w:proofErr w:type="spellEnd"/>
      <w:r>
        <w:rPr>
          <w:rFonts w:eastAsia="Arial"/>
          <w:lang w:val="fr-CA"/>
        </w:rPr>
        <w:t xml:space="preserve">, Inc. (UL) : </w:t>
      </w:r>
      <w:hyperlink r:id="rId15" w:history="1">
        <w:r>
          <w:rPr>
            <w:rFonts w:eastAsia="Arial"/>
            <w:color w:val="0000FF"/>
            <w:u w:val="single"/>
            <w:lang w:val="fr-CA"/>
          </w:rPr>
          <w:t>www.ul.com</w:t>
        </w:r>
      </w:hyperlink>
      <w:r>
        <w:rPr>
          <w:rFonts w:eastAsia="Arial"/>
          <w:lang w:val="fr-CA"/>
        </w:rPr>
        <w:t> :</w:t>
      </w:r>
    </w:p>
    <w:p w14:paraId="51BCD045" w14:textId="77777777" w:rsidR="00EE1DF9" w:rsidRDefault="0044630F">
      <w:pPr>
        <w:pStyle w:val="PR2"/>
        <w:spacing w:before="240"/>
      </w:pPr>
      <w:r>
        <w:rPr>
          <w:rFonts w:eastAsia="Arial"/>
          <w:lang w:val="fr-CA"/>
        </w:rPr>
        <w:t>UL790 : Méthodes de test standard pour les tests de résistance au feu des revêtements de toiture</w:t>
      </w:r>
    </w:p>
    <w:p w14:paraId="538ED62F" w14:textId="77777777" w:rsidR="00EE1DF9" w:rsidRDefault="0044630F">
      <w:pPr>
        <w:pStyle w:val="PR1"/>
      </w:pPr>
      <w:r>
        <w:rPr>
          <w:rFonts w:eastAsia="Arial"/>
          <w:lang w:val="fr-CA"/>
        </w:rPr>
        <w:lastRenderedPageBreak/>
        <w:t>Agence am</w:t>
      </w:r>
      <w:r>
        <w:rPr>
          <w:rFonts w:eastAsia="Arial"/>
          <w:lang w:val="fr-CA"/>
        </w:rPr>
        <w:t>éricaine de protection de l’environnement (</w:t>
      </w:r>
      <w:proofErr w:type="spellStart"/>
      <w:r>
        <w:rPr>
          <w:rFonts w:eastAsia="Arial"/>
          <w:lang w:val="fr-CA"/>
        </w:rPr>
        <w:t>Environmental</w:t>
      </w:r>
      <w:proofErr w:type="spellEnd"/>
      <w:r>
        <w:rPr>
          <w:rFonts w:eastAsia="Arial"/>
          <w:lang w:val="fr-CA"/>
        </w:rPr>
        <w:t xml:space="preserve"> Protection Agency, EPA) : </w:t>
      </w:r>
      <w:hyperlink r:id="rId16" w:history="1">
        <w:r>
          <w:rPr>
            <w:rFonts w:eastAsia="Arial"/>
            <w:color w:val="006600"/>
            <w:u w:val="single"/>
            <w:lang w:val="fr-CA"/>
          </w:rPr>
          <w:t>www.epa.gov</w:t>
        </w:r>
      </w:hyperlink>
      <w:r>
        <w:rPr>
          <w:rFonts w:eastAsia="Arial"/>
          <w:lang w:val="fr-CA"/>
        </w:rPr>
        <w:t> :</w:t>
      </w:r>
    </w:p>
    <w:p w14:paraId="29BBB13A" w14:textId="77777777" w:rsidR="00EE1DF9" w:rsidRDefault="0044630F">
      <w:pPr>
        <w:pStyle w:val="PR2"/>
        <w:spacing w:before="240"/>
        <w:rPr>
          <w:color w:val="006600"/>
        </w:rPr>
      </w:pPr>
      <w:r>
        <w:rPr>
          <w:rFonts w:eastAsia="Arial"/>
          <w:color w:val="006600"/>
          <w:lang w:val="fr-CA"/>
        </w:rPr>
        <w:t>40 CFR 59, sous-partie D : Normes nationales d’émission de composés organiques volatils pour les revêtements architecturaux</w:t>
      </w:r>
    </w:p>
    <w:p w14:paraId="208AC3FB" w14:textId="77777777" w:rsidR="00EE1DF9" w:rsidRDefault="0044630F">
      <w:pPr>
        <w:pStyle w:val="ART"/>
      </w:pPr>
      <w:r>
        <w:rPr>
          <w:rFonts w:eastAsia="Arial"/>
          <w:lang w:val="fr-CA"/>
        </w:rPr>
        <w:t>EXIGENCES ADMINISTRATIVES</w:t>
      </w:r>
    </w:p>
    <w:p w14:paraId="068D39B9" w14:textId="77777777" w:rsidR="00EE1DF9" w:rsidRDefault="0044630F">
      <w:pPr>
        <w:pStyle w:val="PR1"/>
      </w:pPr>
      <w:r>
        <w:rPr>
          <w:rFonts w:eastAsia="Arial"/>
          <w:lang w:val="fr-CA"/>
        </w:rPr>
        <w:t>Conférence préalable à l’installation : Tenir une conférence sur le site du projet.</w:t>
      </w:r>
    </w:p>
    <w:p w14:paraId="72EC10E5" w14:textId="77777777" w:rsidR="00EE1DF9" w:rsidRDefault="0044630F">
      <w:pPr>
        <w:pStyle w:val="PR2"/>
        <w:spacing w:before="240"/>
      </w:pPr>
      <w:r>
        <w:rPr>
          <w:rFonts w:eastAsia="Arial"/>
          <w:lang w:val="fr-CA"/>
        </w:rPr>
        <w:t xml:space="preserve">Passer en revue les exigences relatives aux produits de revêtement de circulation et à leur installation, y compris la préparation de la surface, </w:t>
      </w:r>
      <w:r>
        <w:rPr>
          <w:rFonts w:eastAsia="Arial"/>
          <w:lang w:val="fr-CA"/>
        </w:rPr>
        <w:t>les conditions du substrat, les exigences en matière de joints de dilatation, les détails du projet et du fabricant, les procédures d’installation, les maquettes, les exigences en matière de tests et d’inspection, la protection et les réparations et la coo</w:t>
      </w:r>
      <w:r>
        <w:rPr>
          <w:rFonts w:eastAsia="Arial"/>
          <w:lang w:val="fr-CA"/>
        </w:rPr>
        <w:t>rdination et le séquençage des travaux de revêtement de circulation avec les travaux d’autres sections.</w:t>
      </w:r>
    </w:p>
    <w:p w14:paraId="65512537" w14:textId="77777777" w:rsidR="00EE1DF9" w:rsidRDefault="0044630F">
      <w:pPr>
        <w:pStyle w:val="ART"/>
      </w:pPr>
      <w:r>
        <w:rPr>
          <w:rFonts w:eastAsia="Arial"/>
          <w:lang w:val="fr-CA"/>
        </w:rPr>
        <w:t>SOUMISSIONS DES MESURES</w:t>
      </w:r>
    </w:p>
    <w:p w14:paraId="750D8AEA" w14:textId="77777777" w:rsidR="00EE1DF9" w:rsidRDefault="0044630F">
      <w:pPr>
        <w:pStyle w:val="PR1"/>
      </w:pPr>
      <w:r>
        <w:rPr>
          <w:rFonts w:eastAsia="Arial"/>
          <w:lang w:val="fr-CA"/>
        </w:rPr>
        <w:t xml:space="preserve">Données sur le produit : Pour chaque type de produit de revêtement de circulation et accessoire de joint de dilatation </w:t>
      </w:r>
      <w:r>
        <w:rPr>
          <w:rFonts w:eastAsia="Arial"/>
          <w:lang w:val="fr-CA"/>
        </w:rPr>
        <w:t>spécifié, indiquant la conformité aux exigences.</w:t>
      </w:r>
    </w:p>
    <w:p w14:paraId="23972E58" w14:textId="77777777" w:rsidR="00EE1DF9" w:rsidRDefault="0044630F">
      <w:pPr>
        <w:pStyle w:val="PR1"/>
      </w:pPr>
      <w:r>
        <w:rPr>
          <w:rFonts w:eastAsia="Arial"/>
          <w:lang w:val="fr-CA"/>
        </w:rPr>
        <w:t>Dessins d’atelier : Afficher les emplacements des composants du système de revêtement de circulation. Afficher les détails pour chaque type de substrat, les joints de mouvement, les coins et les conditions d</w:t>
      </w:r>
      <w:r>
        <w:rPr>
          <w:rFonts w:eastAsia="Arial"/>
          <w:lang w:val="fr-CA"/>
        </w:rPr>
        <w:t>es bords, y compris les pénétrations, les transitions et les extrémités.</w:t>
      </w:r>
    </w:p>
    <w:p w14:paraId="79D998D8" w14:textId="77777777" w:rsidR="00EE1DF9" w:rsidRDefault="0044630F">
      <w:pPr>
        <w:pStyle w:val="ART"/>
      </w:pPr>
      <w:r>
        <w:rPr>
          <w:rFonts w:eastAsia="Arial"/>
          <w:lang w:val="fr-CA"/>
        </w:rPr>
        <w:t>SOUMISSIONS D’INFORMATION</w:t>
      </w:r>
    </w:p>
    <w:p w14:paraId="2BC97D1F" w14:textId="77777777" w:rsidR="00EE1DF9" w:rsidRDefault="0044630F">
      <w:pPr>
        <w:pStyle w:val="PR1"/>
      </w:pPr>
      <w:r>
        <w:rPr>
          <w:rFonts w:eastAsia="Arial"/>
          <w:lang w:val="fr-CA"/>
        </w:rPr>
        <w:t xml:space="preserve">Données de qualification : Pour l’installateur, le </w:t>
      </w:r>
      <w:proofErr w:type="gramStart"/>
      <w:r>
        <w:rPr>
          <w:rFonts w:eastAsia="Arial"/>
          <w:lang w:val="fr-CA"/>
        </w:rPr>
        <w:t>fabricant[ et</w:t>
      </w:r>
      <w:proofErr w:type="gramEnd"/>
      <w:r>
        <w:rPr>
          <w:rFonts w:eastAsia="Arial"/>
          <w:lang w:val="fr-CA"/>
        </w:rPr>
        <w:t xml:space="preserve"> l’inspecteur du revêtement de circulation].</w:t>
      </w:r>
    </w:p>
    <w:p w14:paraId="6BD1E267" w14:textId="77777777" w:rsidR="00EE1DF9" w:rsidRDefault="0044630F">
      <w:pPr>
        <w:pStyle w:val="PR2"/>
        <w:spacing w:before="240"/>
        <w:outlineLvl w:val="9"/>
      </w:pPr>
      <w:r>
        <w:rPr>
          <w:rFonts w:eastAsia="Arial"/>
          <w:lang w:val="fr-CA"/>
        </w:rPr>
        <w:t>Certification de l'approbation de l'installateur</w:t>
      </w:r>
      <w:r>
        <w:rPr>
          <w:rFonts w:eastAsia="Arial"/>
          <w:lang w:val="fr-CA"/>
        </w:rPr>
        <w:t xml:space="preserve"> par le fabricant.</w:t>
      </w:r>
    </w:p>
    <w:p w14:paraId="6DE788F2" w14:textId="77777777" w:rsidR="00EE1DF9" w:rsidRDefault="0044630F">
      <w:pPr>
        <w:pStyle w:val="PR1"/>
      </w:pPr>
      <w:r>
        <w:rPr>
          <w:rFonts w:eastAsia="Arial"/>
          <w:lang w:val="fr-CA"/>
        </w:rPr>
        <w:t>Rapports des tests du produit : Données de tests pour les produits de revêtement de circulation et le système de revêtement de circulation, par un organisme d’essais qualifié, indiquant que le revêtement de circulation proposé répond aux</w:t>
      </w:r>
      <w:r>
        <w:rPr>
          <w:rFonts w:eastAsia="Arial"/>
          <w:lang w:val="fr-CA"/>
        </w:rPr>
        <w:t xml:space="preserve"> exigences de performance, lorsque demandé par l’architecte.</w:t>
      </w:r>
    </w:p>
    <w:p w14:paraId="667D8BBF" w14:textId="77777777" w:rsidR="00EE1DF9" w:rsidRDefault="0044630F">
      <w:pPr>
        <w:pStyle w:val="PR1"/>
      </w:pPr>
      <w:r>
        <w:rPr>
          <w:rFonts w:eastAsia="Arial"/>
          <w:lang w:val="fr-CA"/>
        </w:rPr>
        <w:t>Garantie : Exemple de garanties spéciales du fabricant et de l’installateur non exécutées.</w:t>
      </w:r>
    </w:p>
    <w:p w14:paraId="79670483" w14:textId="77777777" w:rsidR="00EE1DF9" w:rsidRDefault="0044630F">
      <w:pPr>
        <w:pStyle w:val="PR1"/>
      </w:pPr>
      <w:r>
        <w:rPr>
          <w:rFonts w:eastAsia="Arial"/>
          <w:lang w:val="fr-CA"/>
        </w:rPr>
        <w:t>Rapports de contrôle de la qualité sur le terrain.</w:t>
      </w:r>
    </w:p>
    <w:p w14:paraId="00250589" w14:textId="77777777" w:rsidR="00EE1DF9" w:rsidRDefault="0044630F">
      <w:pPr>
        <w:pStyle w:val="ART"/>
      </w:pPr>
      <w:r>
        <w:rPr>
          <w:rFonts w:eastAsia="Arial"/>
          <w:lang w:val="fr-CA"/>
        </w:rPr>
        <w:t>ASSURANCE QUALITÉ</w:t>
      </w:r>
    </w:p>
    <w:p w14:paraId="27521AA2" w14:textId="77777777" w:rsidR="00EE1DF9" w:rsidRDefault="0044630F">
      <w:pPr>
        <w:pStyle w:val="PR1"/>
      </w:pPr>
      <w:r>
        <w:rPr>
          <w:rFonts w:eastAsia="Arial"/>
          <w:lang w:val="fr-CA"/>
        </w:rPr>
        <w:t>Qualifications de l’installateur : Une entreprise approuvée par le fabricant ayant au moins [cinq] ans d’expérience dans l’installation de produits spécifiques dans le cadre de projets similaires à l’utilisation réussie, employant des travailleurs formés p</w:t>
      </w:r>
      <w:r>
        <w:rPr>
          <w:rFonts w:eastAsia="Arial"/>
          <w:lang w:val="fr-CA"/>
        </w:rPr>
        <w:t xml:space="preserve">ar le fabricant, y compris un superviseur sur place à temps plein avec au moins [trois] ans d’expérience dans l’installation de travaux similaires et capable de communiquer verbalement avec </w:t>
      </w:r>
      <w:proofErr w:type="gramStart"/>
      <w:r>
        <w:rPr>
          <w:rFonts w:eastAsia="Arial"/>
          <w:lang w:val="fr-CA"/>
        </w:rPr>
        <w:t>l’entrepreneur[</w:t>
      </w:r>
      <w:proofErr w:type="gramEnd"/>
      <w:r>
        <w:rPr>
          <w:rFonts w:eastAsia="Arial"/>
          <w:lang w:val="fr-CA"/>
        </w:rPr>
        <w:t>, l’architecte] et les employés.</w:t>
      </w:r>
    </w:p>
    <w:p w14:paraId="13D485BC" w14:textId="77777777" w:rsidR="00EE1DF9" w:rsidRDefault="0044630F">
      <w:pPr>
        <w:pStyle w:val="PR1"/>
      </w:pPr>
      <w:r>
        <w:rPr>
          <w:rFonts w:eastAsia="Arial"/>
          <w:lang w:val="fr-CA"/>
        </w:rPr>
        <w:t xml:space="preserve">Qualifications du </w:t>
      </w:r>
      <w:r>
        <w:rPr>
          <w:rFonts w:eastAsia="Arial"/>
          <w:lang w:val="fr-CA"/>
        </w:rPr>
        <w:t>fabricant : Un fabricant qualifié [énuméré dans cette section] possédant au moins cinq ans d’expérience dans la fabrication de revêtements de circulation comme l’un de ses principaux produits.</w:t>
      </w:r>
    </w:p>
    <w:p w14:paraId="5B1B26BB" w14:textId="77777777" w:rsidR="00EE1DF9" w:rsidRDefault="0044630F">
      <w:pPr>
        <w:pStyle w:val="PR2"/>
        <w:spacing w:before="240"/>
      </w:pPr>
      <w:r>
        <w:rPr>
          <w:rFonts w:eastAsia="Arial"/>
          <w:lang w:val="fr-CA"/>
        </w:rPr>
        <w:lastRenderedPageBreak/>
        <w:t>Le produit proposé du fabricant fonctionne de manière satisfais</w:t>
      </w:r>
      <w:r>
        <w:rPr>
          <w:rFonts w:eastAsia="Arial"/>
          <w:lang w:val="fr-CA"/>
        </w:rPr>
        <w:t>ante sur cinq installations similaires depuis au moins cinq ans.</w:t>
      </w:r>
    </w:p>
    <w:p w14:paraId="3BA9BEEF" w14:textId="77777777" w:rsidR="00EE1DF9" w:rsidRDefault="0044630F">
      <w:pPr>
        <w:pStyle w:val="CMT"/>
        <w:spacing w:after="240"/>
      </w:pPr>
      <w:r>
        <w:t xml:space="preserve">Specifier: Retain "Approval of Manufacturers and Comparable Products" Paragraph below </w:t>
      </w:r>
      <w:r>
        <w:rPr>
          <w:lang w:val="en-US"/>
        </w:rPr>
        <w:t>to provide</w:t>
      </w:r>
      <w:r>
        <w:t xml:space="preserve"> control over qualifying of substituted manufacturers.</w:t>
      </w:r>
    </w:p>
    <w:p w14:paraId="7A0E98FC" w14:textId="77777777" w:rsidR="00EE1DF9" w:rsidRDefault="0044630F">
      <w:pPr>
        <w:pStyle w:val="PR2"/>
        <w:outlineLvl w:val="9"/>
      </w:pPr>
      <w:r>
        <w:rPr>
          <w:rFonts w:eastAsia="Arial"/>
          <w:lang w:val="fr-CA"/>
        </w:rPr>
        <w:t>Approbation des fabricants et des produi</w:t>
      </w:r>
      <w:r>
        <w:rPr>
          <w:rFonts w:eastAsia="Arial"/>
          <w:lang w:val="fr-CA"/>
        </w:rPr>
        <w:t>ts comparables : [Soumettre] [Le soumissionnaire principal doit soumettre] ce qui suit conformément aux exigences de substitution du projet, dans les délais impartis pour l’examen de la substitution :</w:t>
      </w:r>
    </w:p>
    <w:p w14:paraId="1D0FE44D" w14:textId="77777777" w:rsidR="00EE1DF9" w:rsidRDefault="0044630F">
      <w:pPr>
        <w:pStyle w:val="PR3"/>
        <w:spacing w:before="240"/>
      </w:pPr>
      <w:r>
        <w:rPr>
          <w:rFonts w:eastAsia="Arial"/>
          <w:lang w:val="fr-CA"/>
        </w:rPr>
        <w:t>Formulaire de demande de substitution rempli et signé.</w:t>
      </w:r>
    </w:p>
    <w:p w14:paraId="05B60F0E" w14:textId="77777777" w:rsidR="00EE1DF9" w:rsidRDefault="0044630F">
      <w:pPr>
        <w:pStyle w:val="PR3"/>
      </w:pPr>
      <w:r>
        <w:rPr>
          <w:rFonts w:eastAsia="Arial"/>
          <w:lang w:val="fr-CA"/>
        </w:rPr>
        <w:t>Données sur les produits, y compris des données de tests indépendants certifiées indiquant la conformité aux exigences.</w:t>
      </w:r>
    </w:p>
    <w:p w14:paraId="346C3E97" w14:textId="77777777" w:rsidR="00EE1DF9" w:rsidRDefault="0044630F">
      <w:pPr>
        <w:pStyle w:val="PR3"/>
      </w:pPr>
      <w:r>
        <w:rPr>
          <w:rFonts w:eastAsia="Arial"/>
          <w:lang w:val="fr-CA"/>
        </w:rPr>
        <w:t>Des exemples de dessins d’atelier provenant d’un projet similaire.</w:t>
      </w:r>
    </w:p>
    <w:p w14:paraId="37A9EAAB" w14:textId="77777777" w:rsidR="00EE1DF9" w:rsidRDefault="0044630F">
      <w:pPr>
        <w:pStyle w:val="PR3"/>
      </w:pPr>
      <w:r>
        <w:rPr>
          <w:rFonts w:eastAsia="Arial"/>
          <w:lang w:val="fr-CA"/>
        </w:rPr>
        <w:t>Projets de référence : Un minimum de cinq installations de système si</w:t>
      </w:r>
      <w:r>
        <w:rPr>
          <w:rFonts w:eastAsia="Arial"/>
          <w:lang w:val="fr-CA"/>
        </w:rPr>
        <w:t>milaire âgées d’au moins cinq ans, avec les coordonnées du propriétaire et de l’architecte.</w:t>
      </w:r>
    </w:p>
    <w:p w14:paraId="0C9C645C" w14:textId="77777777" w:rsidR="00EE1DF9" w:rsidRDefault="0044630F">
      <w:pPr>
        <w:pStyle w:val="PR3"/>
      </w:pPr>
      <w:r>
        <w:rPr>
          <w:rFonts w:eastAsia="Arial"/>
          <w:lang w:val="fr-CA"/>
        </w:rPr>
        <w:t>Nom et curriculum vitæ de l’inspecteur qualifié proposé.</w:t>
      </w:r>
    </w:p>
    <w:p w14:paraId="66C2E6C6" w14:textId="77777777" w:rsidR="00EE1DF9" w:rsidRDefault="0044630F">
      <w:pPr>
        <w:pStyle w:val="PR3"/>
      </w:pPr>
      <w:r>
        <w:rPr>
          <w:rFonts w:eastAsia="Arial"/>
          <w:lang w:val="fr-CA"/>
        </w:rPr>
        <w:t>Exemple de garantie.</w:t>
      </w:r>
    </w:p>
    <w:p w14:paraId="5E1C3376" w14:textId="77777777" w:rsidR="00EE1DF9" w:rsidRDefault="0044630F">
      <w:pPr>
        <w:pStyle w:val="CMT"/>
      </w:pPr>
      <w:r>
        <w:t>Specifier: Retain "</w:t>
      </w:r>
      <w:r>
        <w:rPr>
          <w:lang w:val="en-US"/>
        </w:rPr>
        <w:t>Testing Agency</w:t>
      </w:r>
      <w:r>
        <w:t xml:space="preserve"> Qualifications" Paragraph if Contractor is required </w:t>
      </w:r>
      <w:r>
        <w:t>to provide</w:t>
      </w:r>
      <w:r>
        <w:rPr>
          <w:lang w:val="en-US"/>
        </w:rPr>
        <w:t xml:space="preserve"> independent</w:t>
      </w:r>
      <w:r>
        <w:t xml:space="preserve"> inspections under Part 3 Field Quality Control article.</w:t>
      </w:r>
    </w:p>
    <w:p w14:paraId="7AEF2788" w14:textId="77777777" w:rsidR="00EE1DF9" w:rsidRDefault="0044630F">
      <w:pPr>
        <w:pStyle w:val="PR1"/>
      </w:pPr>
      <w:r>
        <w:rPr>
          <w:rFonts w:eastAsia="Arial"/>
          <w:lang w:val="fr-CA"/>
        </w:rPr>
        <w:t>Qualifications de l’organisme d’essais : Agence indépendante qualifiée expérimentée dans l’installation du système de revêtement de circulation spécifié et qualifiée pour effect</w:t>
      </w:r>
      <w:r>
        <w:rPr>
          <w:rFonts w:eastAsia="Arial"/>
          <w:lang w:val="fr-CA"/>
        </w:rPr>
        <w:t>uer l’observation et l’inspection spécifiées dans l’article de contrôle de la qualité sur le terrain afin de déterminer la conformité de l’installateur aux exigences du présent projet, acceptable pour l’architecte, retenue par l’entrepreneur.</w:t>
      </w:r>
    </w:p>
    <w:p w14:paraId="43CC7B4D" w14:textId="77777777" w:rsidR="00EE1DF9" w:rsidRDefault="0044630F">
      <w:pPr>
        <w:pStyle w:val="PR1"/>
      </w:pPr>
      <w:r>
        <w:rPr>
          <w:rFonts w:eastAsia="Arial"/>
          <w:lang w:val="fr-CA"/>
        </w:rPr>
        <w:t>Maquettes : F</w:t>
      </w:r>
      <w:r>
        <w:rPr>
          <w:rFonts w:eastAsia="Arial"/>
          <w:lang w:val="fr-CA"/>
        </w:rPr>
        <w:t xml:space="preserve">ournir l’application de maquettes de revêtement de circulation dans les maquettes requises dans d’autres sections, ou si elles ne sont pas spécifiées, dans une zone d’au moins </w:t>
      </w:r>
      <w:r>
        <w:rPr>
          <w:rFonts w:eastAsia="Arial"/>
          <w:color w:val="FF0000"/>
          <w:lang w:val="fr-CA"/>
        </w:rPr>
        <w:t>14 m²</w:t>
      </w:r>
      <w:r>
        <w:rPr>
          <w:rFonts w:eastAsia="Arial"/>
          <w:lang w:val="fr-CA"/>
        </w:rPr>
        <w:t xml:space="preserve"> (150 pi²) de surface, selon les directives de [Architecte] [Propriétaire] </w:t>
      </w:r>
      <w:r>
        <w:rPr>
          <w:rFonts w:eastAsia="Arial"/>
          <w:lang w:val="fr-CA"/>
        </w:rPr>
        <w:t>pour chaque type de condition du substrat. Inclure des exemples de préparation de surface, de traitement des fissures et des joints, d’application du revêtement de circulation, d’application de granulat antidérapant et de solins, de transition et de condit</w:t>
      </w:r>
      <w:r>
        <w:rPr>
          <w:rFonts w:eastAsia="Arial"/>
          <w:lang w:val="fr-CA"/>
        </w:rPr>
        <w:t>ions des extrémités, afin d’établir des normes de qualité pour la mise en œuvre.</w:t>
      </w:r>
    </w:p>
    <w:p w14:paraId="16A30C39" w14:textId="77777777" w:rsidR="00EE1DF9" w:rsidRDefault="0044630F">
      <w:pPr>
        <w:pStyle w:val="PR2"/>
        <w:spacing w:before="240"/>
      </w:pPr>
      <w:r>
        <w:rPr>
          <w:rFonts w:eastAsia="Arial"/>
          <w:lang w:val="fr-CA"/>
        </w:rPr>
        <w:t>Inclure les intersections entre le revêtement de circulation de pont et le revêtement vertical adjacent et les applications du système de contrôle de l’humidité.</w:t>
      </w:r>
    </w:p>
    <w:p w14:paraId="0818929E" w14:textId="77777777" w:rsidR="00EE1DF9" w:rsidRDefault="0044630F">
      <w:pPr>
        <w:pStyle w:val="PR2"/>
        <w:spacing w:before="240"/>
        <w:rPr>
          <w:rFonts w:eastAsia="Arial" w:cs="Arial"/>
          <w:color w:val="000000" w:themeColor="text1"/>
        </w:rPr>
      </w:pPr>
      <w:r>
        <w:rPr>
          <w:rFonts w:eastAsia="Arial" w:cs="Arial"/>
          <w:lang w:val="fr-CA"/>
        </w:rPr>
        <w:t>Le cas échéan</w:t>
      </w:r>
      <w:r>
        <w:rPr>
          <w:rFonts w:eastAsia="Arial" w:cs="Arial"/>
          <w:lang w:val="fr-CA"/>
        </w:rPr>
        <w:t>t, inclure au moins 3,96 m (13 pi) avec au moins un joint de recouvrement du système de joint de dilatation Willseal.</w:t>
      </w:r>
    </w:p>
    <w:p w14:paraId="31BD7BCF" w14:textId="77777777" w:rsidR="00EE1DF9" w:rsidRDefault="0044630F">
      <w:pPr>
        <w:pStyle w:val="ART"/>
      </w:pPr>
      <w:r>
        <w:rPr>
          <w:rFonts w:eastAsia="Arial"/>
          <w:lang w:val="fr-CA"/>
        </w:rPr>
        <w:t>LIVRAISON, ENTREPOSAGE ET MANUTENTION</w:t>
      </w:r>
    </w:p>
    <w:p w14:paraId="4D4387D2" w14:textId="77777777" w:rsidR="00EE1DF9" w:rsidRDefault="0044630F">
      <w:pPr>
        <w:pStyle w:val="PR1"/>
      </w:pPr>
      <w:r>
        <w:rPr>
          <w:rFonts w:eastAsia="Arial"/>
          <w:lang w:val="fr-CA"/>
        </w:rPr>
        <w:t>Accepter les matériaux sur place dans l’emballage d’origine non ouvert du fabricant.</w:t>
      </w:r>
    </w:p>
    <w:p w14:paraId="32BE520A" w14:textId="77777777" w:rsidR="00EE1DF9" w:rsidRDefault="0044630F">
      <w:pPr>
        <w:pStyle w:val="PR1"/>
      </w:pPr>
      <w:r>
        <w:rPr>
          <w:rFonts w:eastAsia="Arial"/>
          <w:lang w:val="fr-CA"/>
        </w:rPr>
        <w:t>Entreposer les produits dans un environnement protégé des intempéries, à l’écart du sol et de l’humidité, dans les plages de température recommandées par le fabricant du revêtement de circulation.</w:t>
      </w:r>
    </w:p>
    <w:p w14:paraId="4A5E1FCD" w14:textId="77777777" w:rsidR="00EE1DF9" w:rsidRDefault="0044630F">
      <w:pPr>
        <w:pStyle w:val="CMT"/>
      </w:pPr>
      <w:r>
        <w:t>Specifier: Retain first option in "Construction Waste" Para</w:t>
      </w:r>
      <w:r>
        <w:t>graph below for LEED projects; retain second option for other projects.</w:t>
      </w:r>
    </w:p>
    <w:p w14:paraId="17F6D0F8" w14:textId="77777777" w:rsidR="00EE1DF9" w:rsidRDefault="0044630F">
      <w:pPr>
        <w:pStyle w:val="PR1"/>
      </w:pPr>
      <w:r>
        <w:rPr>
          <w:rFonts w:eastAsia="Arial"/>
          <w:lang w:val="fr-CA"/>
        </w:rPr>
        <w:t>Déchets de construction : Entreposer et éliminer les matériaux d’emballage et les déchets de construction conformément aux exigences de la section 01 de la division [« Gestion des déch</w:t>
      </w:r>
      <w:r>
        <w:rPr>
          <w:rFonts w:eastAsia="Arial"/>
          <w:lang w:val="fr-CA"/>
        </w:rPr>
        <w:t>ets de construction »] [« Installations et contrôles temporaires ».]</w:t>
      </w:r>
    </w:p>
    <w:p w14:paraId="72BB773C" w14:textId="77777777" w:rsidR="00EE1DF9" w:rsidRDefault="0044630F">
      <w:pPr>
        <w:pStyle w:val="ART"/>
      </w:pPr>
      <w:r>
        <w:rPr>
          <w:rFonts w:eastAsia="Arial"/>
          <w:lang w:val="fr-CA"/>
        </w:rPr>
        <w:t>EXIGENCES ENVIRONNEMENTALES</w:t>
      </w:r>
    </w:p>
    <w:p w14:paraId="1CDA1B08" w14:textId="77777777" w:rsidR="00EE1DF9" w:rsidRDefault="0044630F">
      <w:pPr>
        <w:pStyle w:val="PR1"/>
      </w:pPr>
      <w:r>
        <w:rPr>
          <w:rFonts w:eastAsia="Arial"/>
          <w:lang w:val="fr-CA"/>
        </w:rPr>
        <w:t>Limites environnementales : Appliquer le revêtement de circulation dans la plage de température ambiante et de substrat recommandée par le fabricant du revêtem</w:t>
      </w:r>
      <w:r>
        <w:rPr>
          <w:rFonts w:eastAsia="Arial"/>
          <w:lang w:val="fr-CA"/>
        </w:rPr>
        <w:t>ent de circulation.</w:t>
      </w:r>
    </w:p>
    <w:p w14:paraId="764BBA79" w14:textId="77777777" w:rsidR="00EE1DF9" w:rsidRDefault="0044630F">
      <w:pPr>
        <w:pStyle w:val="PR2"/>
        <w:spacing w:before="240"/>
      </w:pPr>
      <w:r>
        <w:rPr>
          <w:rFonts w:eastAsia="Arial"/>
          <w:lang w:val="fr-CA"/>
        </w:rPr>
        <w:t>Protéger les substrats des conditions environnementales qui affectent la performance du revêtement.</w:t>
      </w:r>
    </w:p>
    <w:p w14:paraId="523DB97A" w14:textId="77777777" w:rsidR="00EE1DF9" w:rsidRDefault="0044630F">
      <w:pPr>
        <w:pStyle w:val="PR2"/>
      </w:pPr>
      <w:r>
        <w:rPr>
          <w:rFonts w:eastAsia="Arial"/>
          <w:lang w:val="fr-CA"/>
        </w:rPr>
        <w:lastRenderedPageBreak/>
        <w:t>Ne pas appliquer de revêtement de circulation (ou d’accessoires de joints de dilatation, le cas échéant) sur un substrat humide ou mouil</w:t>
      </w:r>
      <w:r>
        <w:rPr>
          <w:rFonts w:eastAsia="Arial"/>
          <w:lang w:val="fr-CA"/>
        </w:rPr>
        <w:t>lé ou en cas de neige, pluie, brouillard ou brume</w:t>
      </w:r>
      <w:r>
        <w:rPr>
          <w:rFonts w:eastAsia="Arial"/>
          <w:color w:val="FF0000"/>
          <w:lang w:val="fr-CA"/>
        </w:rPr>
        <w:t xml:space="preserve"> </w:t>
      </w:r>
      <w:r>
        <w:rPr>
          <w:rFonts w:eastAsia="Arial"/>
          <w:lang w:val="fr-CA"/>
        </w:rPr>
        <w:t>ou en présence de rosée.</w:t>
      </w:r>
    </w:p>
    <w:p w14:paraId="25017189" w14:textId="77777777" w:rsidR="00EE1DF9" w:rsidRDefault="0044630F">
      <w:pPr>
        <w:pStyle w:val="ART"/>
      </w:pPr>
      <w:r>
        <w:rPr>
          <w:rFonts w:eastAsia="Arial"/>
          <w:lang w:val="fr-CA"/>
        </w:rPr>
        <w:t>PLANIFICATION</w:t>
      </w:r>
    </w:p>
    <w:p w14:paraId="436D640B" w14:textId="77777777" w:rsidR="00EE1DF9" w:rsidRDefault="0044630F">
      <w:pPr>
        <w:pStyle w:val="PR1"/>
      </w:pPr>
      <w:r>
        <w:rPr>
          <w:rFonts w:eastAsia="Arial"/>
          <w:lang w:val="fr-CA"/>
        </w:rPr>
        <w:t>Coordonner l’installation du revêtement de circulation avec l’achèvement des travaux de toiture et d’autres travaux nécessitant une interface avec le revêtement de cir</w:t>
      </w:r>
      <w:r>
        <w:rPr>
          <w:rFonts w:eastAsia="Arial"/>
          <w:lang w:val="fr-CA"/>
        </w:rPr>
        <w:t>culation.</w:t>
      </w:r>
    </w:p>
    <w:p w14:paraId="56A3DA94" w14:textId="77777777" w:rsidR="00EE1DF9" w:rsidRDefault="0044630F">
      <w:pPr>
        <w:pStyle w:val="PR1"/>
      </w:pPr>
      <w:r>
        <w:rPr>
          <w:rFonts w:eastAsia="Arial"/>
          <w:lang w:val="fr-CA"/>
        </w:rPr>
        <w:t>Planifier le travail de sorte que les applications du système de revêtement de circulation (y compris les joints de dilatation, le cas échéant) puissent être inspectées avant la dissimulation.</w:t>
      </w:r>
    </w:p>
    <w:p w14:paraId="67053EC6" w14:textId="77777777" w:rsidR="00EE1DF9" w:rsidRDefault="0044630F">
      <w:pPr>
        <w:pStyle w:val="ART"/>
      </w:pPr>
      <w:r>
        <w:rPr>
          <w:rFonts w:eastAsia="Arial"/>
          <w:lang w:val="fr-CA"/>
        </w:rPr>
        <w:t>GARANTIE</w:t>
      </w:r>
    </w:p>
    <w:p w14:paraId="4F46180E" w14:textId="77777777" w:rsidR="00EE1DF9" w:rsidRDefault="0044630F">
      <w:pPr>
        <w:pStyle w:val="CMT"/>
        <w:rPr>
          <w:lang w:val="en-US"/>
        </w:rPr>
      </w:pPr>
      <w:r>
        <w:rPr>
          <w:lang w:val="en-US"/>
        </w:rPr>
        <w:t xml:space="preserve">Specifier: </w:t>
      </w:r>
      <w:r>
        <w:t>Consult Tremco representative for</w:t>
      </w:r>
      <w:r>
        <w:t xml:space="preserve"> available special project warranty terms and conditions.</w:t>
      </w:r>
    </w:p>
    <w:p w14:paraId="4F15C107" w14:textId="77777777" w:rsidR="00EE1DF9" w:rsidRDefault="0044630F">
      <w:pPr>
        <w:pStyle w:val="PR1"/>
      </w:pPr>
      <w:r>
        <w:rPr>
          <w:rFonts w:eastAsia="Arial"/>
          <w:lang w:val="fr-CA"/>
        </w:rPr>
        <w:t>Garantie spéciale du fabricant : Formulaire standard du fabricant dans lequel le fabricant du revêtement de circulation accepte de fournir et de remplacer le matériau du revêtement de circulation po</w:t>
      </w:r>
      <w:r>
        <w:rPr>
          <w:rFonts w:eastAsia="Arial"/>
          <w:lang w:val="fr-CA"/>
        </w:rPr>
        <w:t>ur réparer ou remplacer les matériaux installés conformément aux instructions écrites du fabricant qui présentent des défauts de matériaux ou qui ne fonctionnent pas comme spécifié dans le cadre d'une utilisation normale pendant la période de garantie spéc</w:t>
      </w:r>
      <w:r>
        <w:rPr>
          <w:rFonts w:eastAsia="Arial"/>
          <w:lang w:val="fr-CA"/>
        </w:rPr>
        <w:t>ifiée.</w:t>
      </w:r>
    </w:p>
    <w:p w14:paraId="109B119F" w14:textId="77777777" w:rsidR="00EE1DF9" w:rsidRDefault="0044630F">
      <w:pPr>
        <w:pStyle w:val="PR2"/>
        <w:spacing w:before="240"/>
      </w:pPr>
      <w:r>
        <w:rPr>
          <w:rFonts w:eastAsia="Arial"/>
          <w:lang w:val="fr-CA"/>
        </w:rPr>
        <w:t>Accès pour réparation : Le propriétaire doit fournir un accès sans entrave au projet et au système de revêtement de circulation à des fins de tests, d’enquête sur les fuites et de réparation, et doit réinstaller les matériaux de revêtement et de mor</w:t>
      </w:r>
      <w:r>
        <w:rPr>
          <w:rFonts w:eastAsia="Arial"/>
          <w:lang w:val="fr-CA"/>
        </w:rPr>
        <w:t>t-terrain retirés une fois la réparation terminée.</w:t>
      </w:r>
    </w:p>
    <w:p w14:paraId="27FFBFB4" w14:textId="77777777" w:rsidR="00EE1DF9" w:rsidRDefault="0044630F">
      <w:pPr>
        <w:pStyle w:val="PR2"/>
        <w:outlineLvl w:val="9"/>
      </w:pPr>
      <w:r>
        <w:rPr>
          <w:rFonts w:eastAsia="Arial"/>
          <w:lang w:val="fr-CA"/>
        </w:rPr>
        <w:t>Limitation des coûts : L’obligation du fabricant pour la réparation ou le remplacement sera limitée au coût d’installation d’origine des travaux.</w:t>
      </w:r>
    </w:p>
    <w:p w14:paraId="196A260C" w14:textId="77777777" w:rsidR="00EE1DF9" w:rsidRDefault="0044630F">
      <w:pPr>
        <w:pStyle w:val="PR2"/>
        <w:outlineLvl w:val="9"/>
      </w:pPr>
      <w:r>
        <w:rPr>
          <w:rFonts w:eastAsia="Arial"/>
          <w:lang w:val="fr-CA"/>
        </w:rPr>
        <w:t xml:space="preserve">Période de garantie : [] ans à </w:t>
      </w:r>
      <w:r>
        <w:rPr>
          <w:rFonts w:eastAsia="Arial" w:cs="Arial"/>
          <w:lang w:val="fr-CA"/>
        </w:rPr>
        <w:t>compter de la date d’achèvement substantiel.</w:t>
      </w:r>
    </w:p>
    <w:p w14:paraId="1842630B" w14:textId="77777777" w:rsidR="00EE1DF9" w:rsidRDefault="0044630F">
      <w:pPr>
        <w:pStyle w:val="PR1"/>
      </w:pPr>
      <w:r>
        <w:rPr>
          <w:rFonts w:eastAsia="Arial"/>
          <w:lang w:val="fr-CA"/>
        </w:rPr>
        <w:t>Les garanties spéciales spécifiées dans le présent article excluent la détérioration ou la défaillance des matériaux de revêtement de circulation à la suite des situations suivante</w:t>
      </w:r>
      <w:r>
        <w:rPr>
          <w:rFonts w:eastAsia="Arial"/>
          <w:lang w:val="fr-CA"/>
        </w:rPr>
        <w:t>s :</w:t>
      </w:r>
    </w:p>
    <w:p w14:paraId="45DE57D1" w14:textId="77777777" w:rsidR="00EE1DF9" w:rsidRDefault="0044630F">
      <w:pPr>
        <w:pStyle w:val="PR2"/>
        <w:spacing w:before="240"/>
      </w:pPr>
      <w:r>
        <w:rPr>
          <w:rFonts w:eastAsia="Arial"/>
          <w:lang w:val="fr-CA"/>
        </w:rPr>
        <w:t>Mouvement de la structure causé par un tassement structurel ou des tensions sur le revêtement de circulation dépassant les spécifications écrites du fabricant pour l’allongement.</w:t>
      </w:r>
    </w:p>
    <w:p w14:paraId="7DDBB6F4" w14:textId="77777777" w:rsidR="00EE1DF9" w:rsidRDefault="0044630F">
      <w:pPr>
        <w:pStyle w:val="PR2"/>
      </w:pPr>
      <w:r>
        <w:rPr>
          <w:rFonts w:eastAsia="Arial"/>
          <w:lang w:val="fr-CA"/>
        </w:rPr>
        <w:t>Dommages mécaniques causés par des agents externes.</w:t>
      </w:r>
    </w:p>
    <w:p w14:paraId="71069A29" w14:textId="77777777" w:rsidR="00EE1DF9" w:rsidRDefault="0044630F">
      <w:pPr>
        <w:pStyle w:val="PR1"/>
        <w:numPr>
          <w:ilvl w:val="0"/>
          <w:numId w:val="36"/>
        </w:numPr>
        <w:rPr>
          <w:rFonts w:cs="Arial"/>
        </w:rPr>
      </w:pPr>
      <w:r>
        <w:rPr>
          <w:rFonts w:eastAsia="Arial" w:cs="Arial"/>
          <w:lang w:val="fr-CA"/>
        </w:rPr>
        <w:t>PRODUITS</w:t>
      </w:r>
    </w:p>
    <w:p w14:paraId="255509E9" w14:textId="77777777" w:rsidR="00EE1DF9" w:rsidRDefault="0044630F">
      <w:pPr>
        <w:pStyle w:val="ART"/>
      </w:pPr>
      <w:r>
        <w:rPr>
          <w:rFonts w:eastAsia="Arial"/>
          <w:lang w:val="fr-CA"/>
        </w:rPr>
        <w:t>FABRICANTS</w:t>
      </w:r>
    </w:p>
    <w:p w14:paraId="4A6A0297" w14:textId="77777777" w:rsidR="00EE1DF9" w:rsidRDefault="0044630F">
      <w:pPr>
        <w:pStyle w:val="CMT"/>
      </w:pPr>
      <w:r>
        <w:t>S</w:t>
      </w:r>
      <w:r>
        <w:t xml:space="preserve">pecifier: Retain </w:t>
      </w:r>
      <w:r>
        <w:rPr>
          <w:lang w:val="en-US"/>
        </w:rPr>
        <w:t xml:space="preserve">and edit </w:t>
      </w:r>
      <w:r>
        <w:t xml:space="preserve">option below if </w:t>
      </w:r>
      <w:r>
        <w:rPr>
          <w:lang w:val="en-US"/>
        </w:rPr>
        <w:t xml:space="preserve">substitutions are allowed for </w:t>
      </w:r>
      <w:r>
        <w:t>project.</w:t>
      </w:r>
    </w:p>
    <w:p w14:paraId="5FF2379D" w14:textId="77777777" w:rsidR="00EE1DF9" w:rsidRDefault="0044630F">
      <w:pPr>
        <w:pStyle w:val="PR1"/>
      </w:pPr>
      <w:r>
        <w:rPr>
          <w:rFonts w:eastAsia="Arial"/>
          <w:lang w:val="fr-CA"/>
        </w:rPr>
        <w:t xml:space="preserve">Produits de base : Fournir les produits de revêtement de circulation fabriqués par </w:t>
      </w:r>
      <w:r>
        <w:rPr>
          <w:rFonts w:eastAsia="Arial"/>
          <w:b/>
          <w:bCs/>
          <w:lang w:val="fr-CA"/>
        </w:rPr>
        <w:t xml:space="preserve">Tremco, </w:t>
      </w:r>
      <w:proofErr w:type="spellStart"/>
      <w:r>
        <w:rPr>
          <w:rFonts w:eastAsia="Arial"/>
          <w:b/>
          <w:bCs/>
          <w:lang w:val="fr-CA"/>
        </w:rPr>
        <w:t>Incorporated</w:t>
      </w:r>
      <w:proofErr w:type="spellEnd"/>
      <w:r>
        <w:rPr>
          <w:rFonts w:eastAsia="Arial"/>
          <w:b/>
          <w:bCs/>
          <w:lang w:val="fr-CA"/>
        </w:rPr>
        <w:t xml:space="preserve">, Commercial Sealants and </w:t>
      </w:r>
      <w:proofErr w:type="spellStart"/>
      <w:r>
        <w:rPr>
          <w:rFonts w:eastAsia="Arial"/>
          <w:b/>
          <w:bCs/>
          <w:lang w:val="fr-CA"/>
        </w:rPr>
        <w:t>Waterproofing</w:t>
      </w:r>
      <w:proofErr w:type="spellEnd"/>
      <w:r>
        <w:rPr>
          <w:rFonts w:eastAsia="Arial"/>
          <w:b/>
          <w:bCs/>
          <w:lang w:val="fr-CA"/>
        </w:rPr>
        <w:t xml:space="preserve"> Division</w:t>
      </w:r>
      <w:r>
        <w:rPr>
          <w:rFonts w:eastAsia="Arial"/>
          <w:lang w:val="fr-CA"/>
        </w:rPr>
        <w:t>, Beachwood OH; (866) 32</w:t>
      </w:r>
      <w:r>
        <w:rPr>
          <w:rFonts w:eastAsia="Arial"/>
          <w:lang w:val="fr-CA"/>
        </w:rPr>
        <w:t xml:space="preserve">1-6357; courriel : </w:t>
      </w:r>
      <w:hyperlink r:id="rId17" w:history="1">
        <w:r>
          <w:rPr>
            <w:rFonts w:eastAsia="Arial"/>
            <w:color w:val="0000FF"/>
            <w:u w:val="single"/>
            <w:lang w:val="fr-CA"/>
          </w:rPr>
          <w:t>techresources@tremcoinc.com</w:t>
        </w:r>
      </w:hyperlink>
      <w:r>
        <w:rPr>
          <w:rFonts w:eastAsia="Arial"/>
          <w:lang w:val="fr-CA"/>
        </w:rPr>
        <w:t xml:space="preserve"> ; </w:t>
      </w:r>
      <w:hyperlink r:id="rId18" w:history="1">
        <w:r>
          <w:rPr>
            <w:rFonts w:eastAsia="Arial"/>
            <w:color w:val="0000FF"/>
            <w:u w:val="single"/>
            <w:lang w:val="fr-CA"/>
          </w:rPr>
          <w:t>www.tremcosealants.com</w:t>
        </w:r>
      </w:hyperlink>
      <w:r>
        <w:rPr>
          <w:rFonts w:eastAsia="Arial"/>
          <w:lang w:val="fr-CA"/>
        </w:rPr>
        <w:t>, [ou des produits comparables d’autres fabricants approuvés par l’architecte conforméme</w:t>
      </w:r>
      <w:r>
        <w:rPr>
          <w:rFonts w:eastAsia="Arial"/>
          <w:lang w:val="fr-CA"/>
        </w:rPr>
        <w:t>nt aux instructions aux soumissionnaires et aux exigences générales de la division 01].</w:t>
      </w:r>
    </w:p>
    <w:p w14:paraId="6A4C7D4A" w14:textId="77777777" w:rsidR="00EE1DF9" w:rsidRDefault="0044630F">
      <w:pPr>
        <w:pStyle w:val="PR1"/>
      </w:pPr>
      <w:r>
        <w:rPr>
          <w:rFonts w:eastAsia="Arial"/>
          <w:lang w:val="fr-CA"/>
        </w:rPr>
        <w:t>Limitations de source : Fournir les matériaux du système de revêtement de circulation et les accessoires du fabricant à source unique.</w:t>
      </w:r>
    </w:p>
    <w:p w14:paraId="136F785F" w14:textId="77777777" w:rsidR="00EE1DF9" w:rsidRDefault="0044630F">
      <w:pPr>
        <w:pStyle w:val="ART"/>
      </w:pPr>
      <w:r>
        <w:rPr>
          <w:rFonts w:eastAsia="Arial"/>
          <w:lang w:val="fr-CA"/>
        </w:rPr>
        <w:t>EXIGENCES DE PERFORMANCE</w:t>
      </w:r>
    </w:p>
    <w:p w14:paraId="36698AFC" w14:textId="77777777" w:rsidR="00EE1DF9" w:rsidRDefault="0044630F">
      <w:pPr>
        <w:pStyle w:val="PR1"/>
      </w:pPr>
      <w:r>
        <w:rPr>
          <w:rFonts w:eastAsia="Arial"/>
          <w:lang w:val="fr-CA"/>
        </w:rPr>
        <w:t>Généralités : Le système de revêtement de circulation doit être capable de fonctionner comme une installation étanche continue et comme un plan d’évacuation de l’humidité qui est passée aux solins adjacents et qui vidange l’eau vers l’extérieur de la struc</w:t>
      </w:r>
      <w:r>
        <w:rPr>
          <w:rFonts w:eastAsia="Arial"/>
          <w:lang w:val="fr-CA"/>
        </w:rPr>
        <w:t xml:space="preserve">ture. Le revêtement de circulation doit s’adapter au mouvement normal du substrat et sceller les joints de dilatation et de </w:t>
      </w:r>
      <w:r>
        <w:rPr>
          <w:rFonts w:eastAsia="Arial"/>
          <w:lang w:val="fr-CA"/>
        </w:rPr>
        <w:lastRenderedPageBreak/>
        <w:t>contrôle, les transitions de matériaux de construction, les transitions d’ouverture, les pénétrations et les conditions de périmètre</w:t>
      </w:r>
      <w:r>
        <w:rPr>
          <w:rFonts w:eastAsia="Arial"/>
          <w:lang w:val="fr-CA"/>
        </w:rPr>
        <w:t xml:space="preserve"> sans détérioration de l’humidité restante.</w:t>
      </w:r>
    </w:p>
    <w:p w14:paraId="0A05C16A" w14:textId="77777777" w:rsidR="00EE1DF9" w:rsidRDefault="0044630F">
      <w:pPr>
        <w:pStyle w:val="PR1"/>
      </w:pPr>
      <w:r>
        <w:rPr>
          <w:rFonts w:eastAsia="Arial"/>
          <w:lang w:val="fr-CA"/>
        </w:rPr>
        <w:t>Compatibilité : Fournir des matériaux du système de revêtement de circulation compatibles les uns avec les autres et avec les matériaux adjacents dans les conditions de service et d’application requises, comme dé</w:t>
      </w:r>
      <w:r>
        <w:rPr>
          <w:rFonts w:eastAsia="Arial"/>
          <w:lang w:val="fr-CA"/>
        </w:rPr>
        <w:t>montré par le fabricant du revêtement de circulation en fonction des tests et de l’expérience sur le terrain.</w:t>
      </w:r>
    </w:p>
    <w:p w14:paraId="19D9A726" w14:textId="77777777" w:rsidR="00EE1DF9" w:rsidRDefault="0044630F">
      <w:pPr>
        <w:pStyle w:val="CMT"/>
      </w:pPr>
      <w:r>
        <w:t>Specifier</w:t>
      </w:r>
      <w:r>
        <w:rPr>
          <w:lang w:val="en-US"/>
        </w:rPr>
        <w:t xml:space="preserve">: </w:t>
      </w:r>
      <w:r>
        <w:t>Retain "Fire-Test-Response Characteristics" Paragraph below for traffic coatings that are roof coverings; revise to suit Project.  Indi</w:t>
      </w:r>
      <w:r>
        <w:t>cate class for each traffic coating when tested according to ASTM E 108.  Verify requirements of authorities having jurisdiction and of Owner's insurer.</w:t>
      </w:r>
    </w:p>
    <w:p w14:paraId="4DEE13A7" w14:textId="77777777" w:rsidR="00EE1DF9" w:rsidRDefault="0044630F">
      <w:pPr>
        <w:pStyle w:val="PR1"/>
      </w:pPr>
      <w:r>
        <w:rPr>
          <w:rFonts w:eastAsia="Arial"/>
          <w:b/>
          <w:bCs/>
          <w:lang w:val="fr-CA"/>
        </w:rPr>
        <w:t>Caractéristiques de la réaction aux tests de résistance au feu :</w:t>
      </w:r>
      <w:r>
        <w:rPr>
          <w:rFonts w:eastAsia="Arial"/>
          <w:lang w:val="fr-CA"/>
        </w:rPr>
        <w:t xml:space="preserve">  Fournir des matériaux de revêtement d</w:t>
      </w:r>
      <w:r>
        <w:rPr>
          <w:rFonts w:eastAsia="Arial"/>
          <w:lang w:val="fr-CA"/>
        </w:rPr>
        <w:t>e circulation avec les caractéristiques de réaction aux tests de résistance au feu telles que déterminées en testant des produits identiques selon la méthode de test ci-dessous pour le type de pont et les pentes indiquées par un organisme indépendant de te</w:t>
      </w:r>
      <w:r>
        <w:rPr>
          <w:rFonts w:eastAsia="Arial"/>
          <w:lang w:val="fr-CA"/>
        </w:rPr>
        <w:t>st et d’inspection acceptable par les autorités compétentes.</w:t>
      </w:r>
    </w:p>
    <w:p w14:paraId="4174C602" w14:textId="77777777" w:rsidR="00EE1DF9" w:rsidRDefault="0044630F">
      <w:pPr>
        <w:pStyle w:val="PR2"/>
        <w:spacing w:before="240"/>
      </w:pPr>
      <w:r>
        <w:rPr>
          <w:rFonts w:eastAsia="Arial"/>
          <w:lang w:val="fr-CA"/>
        </w:rPr>
        <w:t>[Classe A] selon la norme UL</w:t>
      </w:r>
      <w:proofErr w:type="gramStart"/>
      <w:r>
        <w:rPr>
          <w:rFonts w:eastAsia="Arial"/>
          <w:lang w:val="fr-CA"/>
        </w:rPr>
        <w:t>790[ ou</w:t>
      </w:r>
      <w:proofErr w:type="gramEnd"/>
      <w:r>
        <w:rPr>
          <w:rFonts w:eastAsia="Arial"/>
          <w:lang w:val="fr-CA"/>
        </w:rPr>
        <w:t xml:space="preserve"> ASTM E108).</w:t>
      </w:r>
    </w:p>
    <w:p w14:paraId="37DD1A7C" w14:textId="77777777" w:rsidR="00EE1DF9" w:rsidRDefault="0044630F">
      <w:pPr>
        <w:pStyle w:val="CMT"/>
      </w:pPr>
      <w:r>
        <w:t>Specifier</w:t>
      </w:r>
      <w:r>
        <w:rPr>
          <w:lang w:val="en-US"/>
        </w:rPr>
        <w:t xml:space="preserve"> </w:t>
      </w:r>
      <w:r>
        <w:t xml:space="preserve">Retain "Energy Performance" paragraph below to specify cool-roof performance for traffic coatings that are </w:t>
      </w:r>
      <w:r>
        <w:rPr>
          <w:lang w:val="en-US"/>
        </w:rPr>
        <w:t>installed on exposed decks</w:t>
      </w:r>
      <w:r>
        <w:t>.  V</w:t>
      </w:r>
      <w:r>
        <w:t>erify availability of compliant products with manufacturers.</w:t>
      </w:r>
      <w:commentRangeStart w:id="4"/>
      <w:r>
        <w:t>.</w:t>
      </w:r>
      <w:commentRangeEnd w:id="4"/>
      <w:r>
        <w:rPr>
          <w:rStyle w:val="CommentReference"/>
        </w:rPr>
        <w:commentReference w:id="4"/>
      </w:r>
    </w:p>
    <w:p w14:paraId="384DE622" w14:textId="77777777" w:rsidR="00EE1DF9" w:rsidRDefault="0044630F">
      <w:pPr>
        <w:pStyle w:val="CMT"/>
      </w:pPr>
      <w:r>
        <w:t>Specifier</w:t>
      </w:r>
      <w:r>
        <w:rPr>
          <w:lang w:val="en-US"/>
        </w:rPr>
        <w:t xml:space="preserve">: </w:t>
      </w:r>
      <w:r>
        <w:t>Retain "VOC Content" Paragraph below if required for LEED-NC or LEED-CS Credit IEQ 4.2 and product is used inside the weatherproofing system such as for equipment rooms and undergr</w:t>
      </w:r>
      <w:r>
        <w:t>ound parking.  Coordinate product selection to ensure that products comply.</w:t>
      </w:r>
    </w:p>
    <w:p w14:paraId="1F826D16" w14:textId="77777777" w:rsidR="00EE1DF9" w:rsidRDefault="0044630F">
      <w:pPr>
        <w:pStyle w:val="CMT"/>
      </w:pPr>
      <w:r>
        <w:t xml:space="preserve">Paragraph below </w:t>
      </w:r>
      <w:r>
        <w:rPr>
          <w:lang w:val="en-US"/>
        </w:rPr>
        <w:t xml:space="preserve">may </w:t>
      </w:r>
      <w:r>
        <w:t>apply to limitations on VOCs of authorities having jurisdiction</w:t>
      </w:r>
      <w:r>
        <w:rPr>
          <w:lang w:val="en-US"/>
        </w:rPr>
        <w:t>; verify local requirements</w:t>
      </w:r>
      <w:r>
        <w:t>.</w:t>
      </w:r>
      <w:r>
        <w:rPr>
          <w:color w:val="008000"/>
        </w:rPr>
        <w:t>.</w:t>
      </w:r>
    </w:p>
    <w:p w14:paraId="699FAA73" w14:textId="77777777" w:rsidR="00EE1DF9" w:rsidRDefault="0044630F">
      <w:pPr>
        <w:pStyle w:val="CMT"/>
      </w:pPr>
      <w:r>
        <w:rPr>
          <w:lang w:val="en-US"/>
        </w:rPr>
        <w:t xml:space="preserve">Specifier:  </w:t>
      </w:r>
      <w:r>
        <w:t>Vulkem 950NF Topcoat can be used both as an intermediat</w:t>
      </w:r>
      <w:r>
        <w:t>e coat for the Tremco heavy duty system and a topcoat for interior applications. Vulkem 951NF is a low-odor topcoat designed for exterior applications and for use over Vulkem 950NF in heavy duty applications.</w:t>
      </w:r>
    </w:p>
    <w:p w14:paraId="2D5AE63B" w14:textId="77777777" w:rsidR="00EE1DF9" w:rsidRDefault="0044630F">
      <w:pPr>
        <w:pStyle w:val="ART"/>
      </w:pPr>
      <w:r>
        <w:rPr>
          <w:rFonts w:eastAsia="Arial"/>
          <w:lang w:val="fr-CA"/>
        </w:rPr>
        <w:t xml:space="preserve">REVÊTEMENT DE CIRCULATION POUR UNE CIRCULATION </w:t>
      </w:r>
      <w:r>
        <w:rPr>
          <w:rFonts w:eastAsia="Arial"/>
          <w:lang w:val="fr-CA"/>
        </w:rPr>
        <w:t>DE VÉHICULES ET UNE EXPOSITION EXTÉRIEURE</w:t>
      </w:r>
    </w:p>
    <w:p w14:paraId="133F20DB" w14:textId="77777777" w:rsidR="00EE1DF9" w:rsidRDefault="0044630F">
      <w:pPr>
        <w:pStyle w:val="PR1"/>
      </w:pPr>
      <w:r>
        <w:rPr>
          <w:rFonts w:eastAsia="Arial"/>
          <w:lang w:val="fr-CA"/>
        </w:rPr>
        <w:t xml:space="preserve">Revêtement de circulation :  Système standard de membrane d'imperméabilisation à faible odeur, faible teneur en COV, supportant la circulation, pour exposition extérieure, sans soudure, à haute teneur en </w:t>
      </w:r>
      <w:r>
        <w:rPr>
          <w:rFonts w:eastAsia="Arial"/>
          <w:lang w:val="fr-CA"/>
        </w:rPr>
        <w:t xml:space="preserve">solides, à application liquide à froid, </w:t>
      </w:r>
      <w:proofErr w:type="spellStart"/>
      <w:r>
        <w:rPr>
          <w:rFonts w:eastAsia="Arial"/>
          <w:lang w:val="fr-CA"/>
        </w:rPr>
        <w:t>élastomérique</w:t>
      </w:r>
      <w:proofErr w:type="spellEnd"/>
      <w:r>
        <w:rPr>
          <w:rFonts w:eastAsia="Arial"/>
          <w:lang w:val="fr-CA"/>
        </w:rPr>
        <w:t xml:space="preserve"> et avec surface d'usure intégrale pour la circulation automobile ; conforme à la norme ASTM C957, validé par SWRI, inférieur à 100 g/L maximum conformément à la norme 40 CFR 59, sous-partie D (méthode E</w:t>
      </w:r>
      <w:r>
        <w:rPr>
          <w:rFonts w:eastAsia="Arial"/>
          <w:lang w:val="fr-CA"/>
        </w:rPr>
        <w:t>PA 24) et conforme aux exigences des autorités compétentes</w:t>
      </w:r>
    </w:p>
    <w:p w14:paraId="77DC269B" w14:textId="77777777" w:rsidR="00EE1DF9" w:rsidRDefault="0044630F">
      <w:pPr>
        <w:pStyle w:val="PR2"/>
        <w:spacing w:before="240"/>
      </w:pPr>
      <w:r>
        <w:rPr>
          <w:rFonts w:eastAsia="Arial"/>
          <w:lang w:val="fr-CA"/>
        </w:rPr>
        <w:t xml:space="preserve">Produits de base : </w:t>
      </w:r>
      <w:r>
        <w:rPr>
          <w:rFonts w:eastAsia="Arial"/>
          <w:b/>
          <w:bCs/>
          <w:lang w:val="fr-CA"/>
        </w:rPr>
        <w:t>Tremco, Inc., Vulkem 350</w:t>
      </w:r>
      <w:proofErr w:type="gramStart"/>
      <w:r>
        <w:rPr>
          <w:rFonts w:eastAsia="Arial"/>
          <w:b/>
          <w:bCs/>
          <w:lang w:val="fr-CA"/>
        </w:rPr>
        <w:t>NF[</w:t>
      </w:r>
      <w:proofErr w:type="gramEnd"/>
      <w:r>
        <w:rPr>
          <w:rFonts w:eastAsia="Arial"/>
          <w:b/>
          <w:bCs/>
          <w:lang w:val="fr-CA"/>
        </w:rPr>
        <w:t>360NF]/950NF[951NF]/951NF</w:t>
      </w:r>
    </w:p>
    <w:p w14:paraId="53C1F93A" w14:textId="77777777" w:rsidR="00EE1DF9" w:rsidRDefault="0044630F">
      <w:pPr>
        <w:pStyle w:val="PR1"/>
      </w:pPr>
      <w:r>
        <w:rPr>
          <w:rFonts w:eastAsia="Arial"/>
          <w:lang w:val="fr-CA"/>
        </w:rPr>
        <w:t>Revêtement de circulation : Système standard de membrane d'imperméabilisation à faible odeur, faible teneur en COV, supportan</w:t>
      </w:r>
      <w:r>
        <w:rPr>
          <w:rFonts w:eastAsia="Arial"/>
          <w:lang w:val="fr-CA"/>
        </w:rPr>
        <w:t xml:space="preserve">t la circulation, pour exposition extérieure, sans soudure, à haute teneur en solides, à application liquide à froid, </w:t>
      </w:r>
      <w:proofErr w:type="spellStart"/>
      <w:r>
        <w:rPr>
          <w:rFonts w:eastAsia="Arial"/>
          <w:lang w:val="fr-CA"/>
        </w:rPr>
        <w:t>élastomérique</w:t>
      </w:r>
      <w:proofErr w:type="spellEnd"/>
      <w:r>
        <w:rPr>
          <w:rFonts w:eastAsia="Arial"/>
          <w:lang w:val="fr-CA"/>
        </w:rPr>
        <w:t xml:space="preserve"> et avec surface d'usure intégrale pour la circulation automobile ; conforme à la norme ASTM C 957, validé par SWRI, inférieu</w:t>
      </w:r>
      <w:r>
        <w:rPr>
          <w:rFonts w:eastAsia="Arial"/>
          <w:lang w:val="fr-CA"/>
        </w:rPr>
        <w:t>r à 350 g/L maximum conformément à la norme 40 CFR 59, sous-partie D (méthode EPA 24) et conforme aux exigences des autorités compétentes</w:t>
      </w:r>
    </w:p>
    <w:p w14:paraId="5382F5B8" w14:textId="77777777" w:rsidR="00EE1DF9" w:rsidRDefault="0044630F">
      <w:pPr>
        <w:numPr>
          <w:ilvl w:val="5"/>
          <w:numId w:val="32"/>
        </w:numPr>
        <w:spacing w:before="240"/>
      </w:pPr>
      <w:r>
        <w:rPr>
          <w:rFonts w:eastAsia="Arial"/>
          <w:lang w:val="fr-CA"/>
        </w:rPr>
        <w:t xml:space="preserve">Produits de base : </w:t>
      </w:r>
      <w:r>
        <w:rPr>
          <w:rFonts w:eastAsia="Arial"/>
          <w:b/>
          <w:bCs/>
          <w:lang w:val="fr-CA"/>
        </w:rPr>
        <w:t>Tremco, Inc., Vulkem 350NF/346/346</w:t>
      </w:r>
    </w:p>
    <w:p w14:paraId="621970E7" w14:textId="77777777" w:rsidR="00EE1DF9" w:rsidRDefault="0044630F">
      <w:pPr>
        <w:pStyle w:val="PR1"/>
      </w:pPr>
      <w:r>
        <w:rPr>
          <w:rFonts w:eastAsia="Arial"/>
          <w:lang w:val="fr-CA"/>
        </w:rPr>
        <w:t xml:space="preserve">Apprêt :  L’apprêt liquide est recommandé pour les substrats et </w:t>
      </w:r>
      <w:r>
        <w:rPr>
          <w:rFonts w:eastAsia="Arial"/>
          <w:lang w:val="fr-CA"/>
        </w:rPr>
        <w:t>les conditions par le fabricant de revêtements de circulation. Au besoin</w:t>
      </w:r>
      <w:r>
        <w:rPr>
          <w:rFonts w:eastAsia="Arial"/>
          <w:color w:val="FF0000"/>
          <w:lang w:val="fr-CA"/>
        </w:rPr>
        <w:t>.</w:t>
      </w:r>
    </w:p>
    <w:p w14:paraId="050D3EB0" w14:textId="77777777" w:rsidR="00EE1DF9" w:rsidRDefault="0044630F">
      <w:pPr>
        <w:pStyle w:val="PR1"/>
      </w:pPr>
      <w:r>
        <w:rPr>
          <w:rFonts w:eastAsia="Arial"/>
          <w:lang w:val="fr-CA"/>
        </w:rPr>
        <w:t>Couches préparatoires et de fond :  Polyuréthane aromatique.</w:t>
      </w:r>
    </w:p>
    <w:p w14:paraId="682AA793" w14:textId="77777777" w:rsidR="00EE1DF9" w:rsidRDefault="0044630F">
      <w:pPr>
        <w:pStyle w:val="PR1"/>
      </w:pPr>
      <w:r>
        <w:rPr>
          <w:rFonts w:eastAsia="Arial"/>
          <w:lang w:val="fr-CA"/>
        </w:rPr>
        <w:t>Couche de finition :  Polyuréthane aliphatique avec inhibiteurs UV.</w:t>
      </w:r>
    </w:p>
    <w:p w14:paraId="476B90BD" w14:textId="77777777" w:rsidR="00EE1DF9" w:rsidRDefault="0044630F">
      <w:pPr>
        <w:pStyle w:val="PR2"/>
        <w:spacing w:before="240"/>
      </w:pPr>
      <w:r>
        <w:rPr>
          <w:rFonts w:eastAsia="Arial"/>
          <w:lang w:val="fr-CA"/>
        </w:rPr>
        <w:t>Couleur :  Selon la sélection de l’architecte dans la</w:t>
      </w:r>
      <w:r>
        <w:rPr>
          <w:rFonts w:eastAsia="Arial"/>
          <w:lang w:val="fr-CA"/>
        </w:rPr>
        <w:t xml:space="preserve"> gamme complète du fabricant.</w:t>
      </w:r>
    </w:p>
    <w:p w14:paraId="049C7071" w14:textId="77777777" w:rsidR="00EE1DF9" w:rsidRDefault="0044630F">
      <w:pPr>
        <w:pStyle w:val="PR1"/>
      </w:pPr>
      <w:r>
        <w:rPr>
          <w:rFonts w:eastAsia="Arial"/>
          <w:lang w:val="fr-CA"/>
        </w:rPr>
        <w:t>Granulat de la couche de finition :  Granulat standard du fabricant pour chaque utilisation indiquée par les tailles de particules, la forme et la dureté minimale recommandées par écrit par le fabricant de revêtement de circul</w:t>
      </w:r>
      <w:r>
        <w:rPr>
          <w:rFonts w:eastAsia="Arial"/>
          <w:lang w:val="fr-CA"/>
        </w:rPr>
        <w:t>ation.</w:t>
      </w:r>
    </w:p>
    <w:p w14:paraId="009240FF" w14:textId="77777777" w:rsidR="00EE1DF9" w:rsidRDefault="0044630F">
      <w:pPr>
        <w:pStyle w:val="ART"/>
      </w:pPr>
      <w:r>
        <w:rPr>
          <w:rFonts w:eastAsia="Arial"/>
          <w:lang w:val="fr-CA"/>
        </w:rPr>
        <w:t>MATÉRIAUX ACCESSOIRES</w:t>
      </w:r>
    </w:p>
    <w:p w14:paraId="05D434FB" w14:textId="77777777" w:rsidR="00EE1DF9" w:rsidRDefault="0044630F">
      <w:pPr>
        <w:pStyle w:val="PR1"/>
      </w:pPr>
      <w:r>
        <w:rPr>
          <w:rFonts w:eastAsia="Arial"/>
          <w:lang w:val="fr-CA"/>
        </w:rPr>
        <w:t xml:space="preserve">Généralités : Les matériaux accessoires tels que décrits dans les instructions d'installation écrites du fabricant, recommandés pour produire un système complet de revêtement de circulation </w:t>
      </w:r>
      <w:r>
        <w:rPr>
          <w:rFonts w:eastAsia="Arial"/>
          <w:lang w:val="fr-CA"/>
        </w:rPr>
        <w:lastRenderedPageBreak/>
        <w:t>conforme aux exigences de performance</w:t>
      </w:r>
      <w:r>
        <w:rPr>
          <w:rFonts w:eastAsia="Arial"/>
          <w:lang w:val="fr-CA"/>
        </w:rPr>
        <w:t xml:space="preserve"> et compatibles avec les matériaux de revêtement de circulation et les matériaux adjacents.</w:t>
      </w:r>
    </w:p>
    <w:p w14:paraId="39013975" w14:textId="77777777" w:rsidR="00EE1DF9" w:rsidRDefault="0044630F">
      <w:pPr>
        <w:pStyle w:val="PR1"/>
      </w:pPr>
      <w:r>
        <w:rPr>
          <w:rFonts w:eastAsia="Arial"/>
          <w:lang w:val="fr-CA"/>
        </w:rPr>
        <w:t>Enduit d’étanchéité pour joints à l’uréthane, à composant unique et sans affaissement :  ASTM C920, type NS, classe 50.</w:t>
      </w:r>
    </w:p>
    <w:p w14:paraId="7F060C48" w14:textId="77777777" w:rsidR="00EE1DF9" w:rsidRDefault="0044630F">
      <w:pPr>
        <w:pStyle w:val="PR2"/>
        <w:spacing w:before="240"/>
      </w:pPr>
      <w:r>
        <w:rPr>
          <w:rFonts w:eastAsia="Arial"/>
          <w:lang w:val="fr-CA"/>
        </w:rPr>
        <w:t xml:space="preserve">Produits de base : </w:t>
      </w:r>
      <w:r>
        <w:rPr>
          <w:rFonts w:eastAsia="Arial"/>
          <w:b/>
          <w:bCs/>
          <w:lang w:val="fr-CA"/>
        </w:rPr>
        <w:t xml:space="preserve">Tremco </w:t>
      </w:r>
      <w:proofErr w:type="spellStart"/>
      <w:r>
        <w:rPr>
          <w:rFonts w:eastAsia="Arial"/>
          <w:b/>
          <w:bCs/>
          <w:lang w:val="fr-CA"/>
        </w:rPr>
        <w:t>Incorporated</w:t>
      </w:r>
      <w:proofErr w:type="spellEnd"/>
      <w:r>
        <w:rPr>
          <w:rFonts w:eastAsia="Arial"/>
          <w:b/>
          <w:bCs/>
          <w:lang w:val="fr-CA"/>
        </w:rPr>
        <w:t>; Dymo</w:t>
      </w:r>
      <w:r>
        <w:rPr>
          <w:rFonts w:eastAsia="Arial"/>
          <w:b/>
          <w:bCs/>
          <w:lang w:val="fr-CA"/>
        </w:rPr>
        <w:t>nic 100</w:t>
      </w:r>
      <w:r>
        <w:rPr>
          <w:rFonts w:eastAsia="Arial"/>
          <w:lang w:val="fr-CA"/>
        </w:rPr>
        <w:t>.</w:t>
      </w:r>
    </w:p>
    <w:p w14:paraId="261231C0" w14:textId="77777777" w:rsidR="00EE1DF9" w:rsidRDefault="0044630F">
      <w:pPr>
        <w:pStyle w:val="PR1"/>
        <w:numPr>
          <w:ilvl w:val="4"/>
          <w:numId w:val="33"/>
        </w:numPr>
        <w:suppressAutoHyphens w:val="0"/>
        <w:outlineLvl w:val="9"/>
      </w:pPr>
      <w:r>
        <w:rPr>
          <w:rFonts w:eastAsia="Arial"/>
          <w:lang w:val="fr-CA"/>
        </w:rPr>
        <w:t xml:space="preserve">Système de mousse monolithique à </w:t>
      </w:r>
      <w:bookmarkStart w:id="5" w:name="_Hlk50450696"/>
      <w:bookmarkStart w:id="6" w:name="_Hlk50128230"/>
      <w:r>
        <w:rPr>
          <w:rFonts w:eastAsia="Arial"/>
          <w:lang w:val="fr-CA"/>
        </w:rPr>
        <w:t xml:space="preserve">joint </w:t>
      </w:r>
      <w:bookmarkStart w:id="7" w:name="_Hlk50127638"/>
      <w:r>
        <w:rPr>
          <w:rFonts w:eastAsia="Arial"/>
          <w:lang w:val="fr-CA"/>
        </w:rPr>
        <w:t xml:space="preserve">de dilatation à cellules </w:t>
      </w:r>
      <w:proofErr w:type="spellStart"/>
      <w:r>
        <w:rPr>
          <w:rFonts w:eastAsia="Arial"/>
          <w:lang w:val="fr-CA"/>
        </w:rPr>
        <w:t>précomprimées</w:t>
      </w:r>
      <w:proofErr w:type="spellEnd"/>
      <w:r>
        <w:rPr>
          <w:rFonts w:eastAsia="Arial"/>
          <w:lang w:val="fr-CA"/>
        </w:rPr>
        <w:t xml:space="preserve"> ou fermées. La structure en mousse ne doit pas contenir de feuilletages en mousse non collés ;</w:t>
      </w:r>
    </w:p>
    <w:p w14:paraId="230B5583" w14:textId="77777777" w:rsidR="00EE1DF9" w:rsidRDefault="0044630F">
      <w:pPr>
        <w:pStyle w:val="PR2"/>
        <w:numPr>
          <w:ilvl w:val="5"/>
          <w:numId w:val="34"/>
        </w:numPr>
        <w:suppressAutoHyphens w:val="0"/>
        <w:outlineLvl w:val="9"/>
      </w:pPr>
      <w:proofErr w:type="spellStart"/>
      <w:r>
        <w:rPr>
          <w:rFonts w:eastAsia="Arial"/>
          <w:b/>
          <w:bCs/>
          <w:lang w:val="fr-CA"/>
        </w:rPr>
        <w:t>Willseal</w:t>
      </w:r>
      <w:r>
        <w:rPr>
          <w:rFonts w:eastAsia="Arial"/>
          <w:b/>
          <w:bCs/>
          <w:vertAlign w:val="superscript"/>
          <w:lang w:val="fr-CA"/>
        </w:rPr>
        <w:t>MD</w:t>
      </w:r>
      <w:proofErr w:type="spellEnd"/>
      <w:r>
        <w:rPr>
          <w:rFonts w:eastAsia="Arial"/>
          <w:b/>
          <w:bCs/>
          <w:lang w:val="fr-CA"/>
        </w:rPr>
        <w:t> 250</w:t>
      </w:r>
      <w:r>
        <w:rPr>
          <w:rFonts w:eastAsia="Arial"/>
          <w:lang w:val="fr-CA"/>
        </w:rPr>
        <w:t xml:space="preserve"> pour une utilisation dans les applications de circulation automobile et piétonnière.</w:t>
      </w:r>
    </w:p>
    <w:p w14:paraId="04DC565D" w14:textId="77777777" w:rsidR="00EE1DF9" w:rsidRDefault="0044630F">
      <w:pPr>
        <w:pStyle w:val="PR2"/>
        <w:numPr>
          <w:ilvl w:val="5"/>
          <w:numId w:val="35"/>
        </w:numPr>
        <w:suppressAutoHyphens w:val="0"/>
        <w:outlineLvl w:val="9"/>
      </w:pPr>
      <w:proofErr w:type="spellStart"/>
      <w:r>
        <w:rPr>
          <w:rFonts w:eastAsia="Arial"/>
          <w:b/>
          <w:bCs/>
          <w:lang w:val="fr-CA"/>
        </w:rPr>
        <w:t>Willseal</w:t>
      </w:r>
      <w:r>
        <w:rPr>
          <w:rFonts w:eastAsia="Arial"/>
          <w:b/>
          <w:bCs/>
          <w:vertAlign w:val="superscript"/>
          <w:lang w:val="fr-CA"/>
        </w:rPr>
        <w:t>MD</w:t>
      </w:r>
      <w:proofErr w:type="spellEnd"/>
      <w:r>
        <w:rPr>
          <w:rFonts w:eastAsia="Arial"/>
          <w:b/>
          <w:bCs/>
          <w:lang w:val="fr-CA"/>
        </w:rPr>
        <w:t> 250-R</w:t>
      </w:r>
      <w:r>
        <w:rPr>
          <w:rFonts w:eastAsia="Arial"/>
          <w:lang w:val="fr-CA"/>
        </w:rPr>
        <w:t xml:space="preserve"> pour une utilisation dans les applications de circulation automobile et piétonnière nécessitant une résistance supplémentaire à la charge ponctuelle.</w:t>
      </w:r>
    </w:p>
    <w:p w14:paraId="13E9E41C" w14:textId="77777777" w:rsidR="00EE1DF9" w:rsidRDefault="0044630F">
      <w:pPr>
        <w:pStyle w:val="PR2"/>
        <w:numPr>
          <w:ilvl w:val="5"/>
          <w:numId w:val="34"/>
        </w:numPr>
        <w:suppressAutoHyphens w:val="0"/>
        <w:outlineLvl w:val="9"/>
      </w:pPr>
      <w:proofErr w:type="spellStart"/>
      <w:r>
        <w:rPr>
          <w:rFonts w:eastAsia="Arial"/>
          <w:b/>
          <w:bCs/>
          <w:lang w:val="fr-CA"/>
        </w:rPr>
        <w:t>Wil</w:t>
      </w:r>
      <w:r>
        <w:rPr>
          <w:rFonts w:eastAsia="Arial"/>
          <w:b/>
          <w:bCs/>
          <w:lang w:val="fr-CA"/>
        </w:rPr>
        <w:t>lseal</w:t>
      </w:r>
      <w:r>
        <w:rPr>
          <w:rFonts w:eastAsia="Arial"/>
          <w:b/>
          <w:bCs/>
          <w:vertAlign w:val="superscript"/>
          <w:lang w:val="fr-CA"/>
        </w:rPr>
        <w:t>MD</w:t>
      </w:r>
      <w:proofErr w:type="spellEnd"/>
      <w:r>
        <w:rPr>
          <w:rFonts w:eastAsia="Arial"/>
          <w:b/>
          <w:bCs/>
          <w:lang w:val="fr-CA"/>
        </w:rPr>
        <w:t> 250-CR</w:t>
      </w:r>
      <w:r>
        <w:rPr>
          <w:rFonts w:eastAsia="Arial"/>
          <w:lang w:val="fr-CA"/>
        </w:rPr>
        <w:t xml:space="preserve"> pour une utilisation dans les applications de circulation automobile et piétonnière sujettes à l’exposition aux produits chimiques, consulter la liste Willseal des produits chimiques approuvés.</w:t>
      </w:r>
    </w:p>
    <w:p w14:paraId="0EE0D41A" w14:textId="77777777" w:rsidR="00EE1DF9" w:rsidRDefault="0044630F">
      <w:pPr>
        <w:pStyle w:val="PR2"/>
        <w:numPr>
          <w:ilvl w:val="5"/>
          <w:numId w:val="34"/>
        </w:numPr>
        <w:suppressAutoHyphens w:val="0"/>
        <w:outlineLvl w:val="9"/>
      </w:pPr>
      <w:proofErr w:type="spellStart"/>
      <w:r>
        <w:rPr>
          <w:rFonts w:eastAsia="Arial"/>
          <w:b/>
          <w:bCs/>
          <w:lang w:val="fr-CA"/>
        </w:rPr>
        <w:t>Willseal</w:t>
      </w:r>
      <w:r>
        <w:rPr>
          <w:rFonts w:eastAsia="Arial"/>
          <w:b/>
          <w:bCs/>
          <w:vertAlign w:val="superscript"/>
          <w:lang w:val="fr-CA"/>
        </w:rPr>
        <w:t>MD</w:t>
      </w:r>
      <w:proofErr w:type="spellEnd"/>
      <w:r>
        <w:rPr>
          <w:rFonts w:eastAsia="Arial"/>
          <w:b/>
          <w:bCs/>
          <w:lang w:val="fr-CA"/>
        </w:rPr>
        <w:t> </w:t>
      </w:r>
      <w:proofErr w:type="spellStart"/>
      <w:r>
        <w:rPr>
          <w:rFonts w:eastAsia="Arial"/>
          <w:lang w:val="fr-CA"/>
        </w:rPr>
        <w:t>Coreseal</w:t>
      </w:r>
      <w:proofErr w:type="spellEnd"/>
      <w:r>
        <w:rPr>
          <w:rFonts w:eastAsia="Arial"/>
          <w:lang w:val="fr-CA"/>
        </w:rPr>
        <w:t xml:space="preserve"> pour une utilisation dans l</w:t>
      </w:r>
      <w:r>
        <w:rPr>
          <w:rFonts w:eastAsia="Arial"/>
          <w:lang w:val="fr-CA"/>
        </w:rPr>
        <w:t>es applications de circulation automobile et piétonnière nécessitant une capacité de mouvement de +/- 25 %, une cellule fermée et un joint d’étanchéité léger.</w:t>
      </w:r>
    </w:p>
    <w:p w14:paraId="62359953" w14:textId="77777777" w:rsidR="00EE1DF9" w:rsidRDefault="0044630F">
      <w:pPr>
        <w:pStyle w:val="PR2"/>
        <w:numPr>
          <w:ilvl w:val="5"/>
          <w:numId w:val="34"/>
        </w:numPr>
        <w:suppressAutoHyphens w:val="0"/>
        <w:outlineLvl w:val="9"/>
      </w:pPr>
      <w:proofErr w:type="spellStart"/>
      <w:r>
        <w:rPr>
          <w:rFonts w:eastAsia="Arial"/>
          <w:b/>
          <w:bCs/>
          <w:lang w:val="fr-CA"/>
        </w:rPr>
        <w:t>Willseal</w:t>
      </w:r>
      <w:r>
        <w:rPr>
          <w:rFonts w:eastAsia="Arial"/>
          <w:b/>
          <w:bCs/>
          <w:vertAlign w:val="superscript"/>
          <w:lang w:val="fr-CA"/>
        </w:rPr>
        <w:t>MD</w:t>
      </w:r>
      <w:proofErr w:type="spellEnd"/>
      <w:r>
        <w:rPr>
          <w:rFonts w:eastAsia="Arial"/>
          <w:b/>
          <w:bCs/>
          <w:lang w:val="fr-CA"/>
        </w:rPr>
        <w:t> </w:t>
      </w:r>
      <w:proofErr w:type="spellStart"/>
      <w:r>
        <w:rPr>
          <w:rFonts w:eastAsia="Arial"/>
          <w:b/>
          <w:bCs/>
          <w:lang w:val="fr-CA"/>
        </w:rPr>
        <w:t>Color</w:t>
      </w:r>
      <w:proofErr w:type="spellEnd"/>
      <w:r>
        <w:rPr>
          <w:rFonts w:eastAsia="Arial"/>
          <w:b/>
          <w:bCs/>
          <w:lang w:val="fr-CA"/>
        </w:rPr>
        <w:t xml:space="preserve"> </w:t>
      </w:r>
      <w:proofErr w:type="spellStart"/>
      <w:r>
        <w:rPr>
          <w:rFonts w:eastAsia="Arial"/>
          <w:b/>
          <w:bCs/>
          <w:lang w:val="fr-CA"/>
        </w:rPr>
        <w:t>Coreseal</w:t>
      </w:r>
      <w:proofErr w:type="spellEnd"/>
      <w:r>
        <w:rPr>
          <w:rFonts w:eastAsia="Arial"/>
          <w:b/>
          <w:bCs/>
          <w:lang w:val="fr-CA"/>
        </w:rPr>
        <w:t xml:space="preserve"> – H </w:t>
      </w:r>
      <w:r>
        <w:rPr>
          <w:rFonts w:eastAsia="Arial"/>
          <w:lang w:val="fr-CA"/>
        </w:rPr>
        <w:t>pour une utilisation dans les applications de circulation automobil</w:t>
      </w:r>
      <w:r>
        <w:rPr>
          <w:rFonts w:eastAsia="Arial"/>
          <w:lang w:val="fr-CA"/>
        </w:rPr>
        <w:t xml:space="preserve">e et piétonnière nécessitant une capacité de mouvement de +/- 25 %, une cellule fermée et un joint d’étanchéité léger. Pour les applications verticales, voir </w:t>
      </w:r>
      <w:proofErr w:type="spellStart"/>
      <w:r>
        <w:rPr>
          <w:rFonts w:eastAsia="Arial"/>
          <w:lang w:val="fr-CA"/>
        </w:rPr>
        <w:t>Color</w:t>
      </w:r>
      <w:proofErr w:type="spellEnd"/>
      <w:r>
        <w:rPr>
          <w:rFonts w:eastAsia="Arial"/>
          <w:lang w:val="fr-CA"/>
        </w:rPr>
        <w:t xml:space="preserve"> </w:t>
      </w:r>
      <w:proofErr w:type="spellStart"/>
      <w:r>
        <w:rPr>
          <w:rFonts w:eastAsia="Arial"/>
          <w:lang w:val="fr-CA"/>
        </w:rPr>
        <w:t>Coreseal</w:t>
      </w:r>
      <w:proofErr w:type="spellEnd"/>
      <w:r>
        <w:rPr>
          <w:rFonts w:eastAsia="Arial"/>
          <w:lang w:val="fr-CA"/>
        </w:rPr>
        <w:t> – V.</w:t>
      </w:r>
    </w:p>
    <w:p w14:paraId="3D47E19D" w14:textId="77777777" w:rsidR="00EE1DF9" w:rsidRDefault="0044630F">
      <w:pPr>
        <w:pStyle w:val="PR2"/>
        <w:numPr>
          <w:ilvl w:val="5"/>
          <w:numId w:val="34"/>
        </w:numPr>
        <w:suppressAutoHyphens w:val="0"/>
        <w:outlineLvl w:val="9"/>
      </w:pPr>
      <w:proofErr w:type="spellStart"/>
      <w:r>
        <w:rPr>
          <w:rFonts w:eastAsia="Arial"/>
          <w:b/>
          <w:bCs/>
          <w:lang w:val="fr-CA"/>
        </w:rPr>
        <w:t>Willseal</w:t>
      </w:r>
      <w:r>
        <w:rPr>
          <w:rFonts w:eastAsia="Arial"/>
          <w:b/>
          <w:bCs/>
          <w:vertAlign w:val="superscript"/>
          <w:lang w:val="fr-CA"/>
        </w:rPr>
        <w:t>MD</w:t>
      </w:r>
      <w:proofErr w:type="spellEnd"/>
      <w:r>
        <w:rPr>
          <w:rFonts w:eastAsia="Arial"/>
          <w:b/>
          <w:bCs/>
          <w:lang w:val="fr-CA"/>
        </w:rPr>
        <w:t> </w:t>
      </w:r>
      <w:proofErr w:type="spellStart"/>
      <w:r>
        <w:rPr>
          <w:rFonts w:eastAsia="Arial"/>
          <w:b/>
          <w:bCs/>
          <w:lang w:val="fr-CA"/>
        </w:rPr>
        <w:t>Color</w:t>
      </w:r>
      <w:proofErr w:type="spellEnd"/>
      <w:r>
        <w:rPr>
          <w:rFonts w:eastAsia="Arial"/>
          <w:b/>
          <w:bCs/>
          <w:lang w:val="fr-CA"/>
        </w:rPr>
        <w:t xml:space="preserve"> </w:t>
      </w:r>
      <w:proofErr w:type="spellStart"/>
      <w:r>
        <w:rPr>
          <w:rFonts w:eastAsia="Arial"/>
          <w:b/>
          <w:bCs/>
          <w:lang w:val="fr-CA"/>
        </w:rPr>
        <w:t>Coreseal</w:t>
      </w:r>
      <w:proofErr w:type="spellEnd"/>
      <w:r>
        <w:rPr>
          <w:rFonts w:eastAsia="Arial"/>
          <w:b/>
          <w:bCs/>
          <w:lang w:val="fr-CA"/>
        </w:rPr>
        <w:t xml:space="preserve"> – CM </w:t>
      </w:r>
      <w:r>
        <w:rPr>
          <w:rFonts w:eastAsia="Arial"/>
          <w:lang w:val="fr-CA"/>
        </w:rPr>
        <w:t>pour une utilisation dans les applications de c</w:t>
      </w:r>
      <w:r>
        <w:rPr>
          <w:rFonts w:eastAsia="Arial"/>
          <w:lang w:val="fr-CA"/>
        </w:rPr>
        <w:t xml:space="preserve">irculation automobile et piétonnière nécessitant une capacité de mouvement de +/- 25 %, une cellule fermée et un joint d’étanchéité léger avec une membrane d’étanchéité intégrée. Pour les applications verticales, voir </w:t>
      </w:r>
      <w:proofErr w:type="spellStart"/>
      <w:r>
        <w:rPr>
          <w:rFonts w:eastAsia="Arial"/>
          <w:lang w:val="fr-CA"/>
        </w:rPr>
        <w:t>Color</w:t>
      </w:r>
      <w:proofErr w:type="spellEnd"/>
      <w:r>
        <w:rPr>
          <w:rFonts w:eastAsia="Arial"/>
          <w:lang w:val="fr-CA"/>
        </w:rPr>
        <w:t xml:space="preserve"> </w:t>
      </w:r>
      <w:proofErr w:type="spellStart"/>
      <w:r>
        <w:rPr>
          <w:rFonts w:eastAsia="Arial"/>
          <w:lang w:val="fr-CA"/>
        </w:rPr>
        <w:t>Coreseal</w:t>
      </w:r>
      <w:proofErr w:type="spellEnd"/>
      <w:r>
        <w:rPr>
          <w:rFonts w:eastAsia="Arial"/>
          <w:lang w:val="fr-CA"/>
        </w:rPr>
        <w:t> – V.</w:t>
      </w:r>
    </w:p>
    <w:p w14:paraId="09A7236C" w14:textId="77777777" w:rsidR="00EE1DF9" w:rsidRDefault="0044630F">
      <w:pPr>
        <w:pStyle w:val="PR2"/>
        <w:numPr>
          <w:ilvl w:val="5"/>
          <w:numId w:val="34"/>
        </w:numPr>
        <w:suppressAutoHyphens w:val="0"/>
        <w:outlineLvl w:val="9"/>
      </w:pPr>
      <w:proofErr w:type="spellStart"/>
      <w:r>
        <w:rPr>
          <w:rFonts w:eastAsia="Arial"/>
          <w:b/>
          <w:bCs/>
          <w:lang w:val="fr-CA"/>
        </w:rPr>
        <w:t>Willseal</w:t>
      </w:r>
      <w:r>
        <w:rPr>
          <w:rFonts w:eastAsia="Arial"/>
          <w:b/>
          <w:bCs/>
          <w:vertAlign w:val="superscript"/>
          <w:lang w:val="fr-CA"/>
        </w:rPr>
        <w:t>MD</w:t>
      </w:r>
      <w:proofErr w:type="spellEnd"/>
      <w:r>
        <w:rPr>
          <w:rFonts w:eastAsia="Arial"/>
          <w:b/>
          <w:bCs/>
          <w:lang w:val="fr-CA"/>
        </w:rPr>
        <w:t> </w:t>
      </w:r>
      <w:r>
        <w:rPr>
          <w:rFonts w:eastAsia="Arial"/>
          <w:lang w:val="fr-CA"/>
        </w:rPr>
        <w:t>FR-H po</w:t>
      </w:r>
      <w:r>
        <w:rPr>
          <w:rFonts w:eastAsia="Arial"/>
          <w:lang w:val="fr-CA"/>
        </w:rPr>
        <w:t xml:space="preserve">ur une utilisation dans les applications de circulation automobile et piétonnière nécessitant des systèmes à utilisation horaire résistant au feu. Pour les applications verticales, voir </w:t>
      </w:r>
      <w:proofErr w:type="spellStart"/>
      <w:r>
        <w:rPr>
          <w:rFonts w:eastAsia="Arial"/>
          <w:lang w:val="fr-CA"/>
        </w:rPr>
        <w:t>Willseal</w:t>
      </w:r>
      <w:r>
        <w:rPr>
          <w:rFonts w:eastAsia="Arial"/>
          <w:vertAlign w:val="superscript"/>
          <w:lang w:val="fr-CA"/>
        </w:rPr>
        <w:t>MD</w:t>
      </w:r>
      <w:proofErr w:type="spellEnd"/>
      <w:r>
        <w:rPr>
          <w:rFonts w:eastAsia="Arial"/>
          <w:lang w:val="fr-CA"/>
        </w:rPr>
        <w:t> FR-V.</w:t>
      </w:r>
    </w:p>
    <w:p w14:paraId="6C06A279" w14:textId="77777777" w:rsidR="00EE1DF9" w:rsidRDefault="0044630F">
      <w:pPr>
        <w:pStyle w:val="PR2"/>
        <w:numPr>
          <w:ilvl w:val="5"/>
          <w:numId w:val="34"/>
        </w:numPr>
        <w:suppressAutoHyphens w:val="0"/>
        <w:outlineLvl w:val="9"/>
      </w:pPr>
      <w:r>
        <w:rPr>
          <w:rFonts w:eastAsia="Arial"/>
          <w:lang w:val="fr-CA"/>
        </w:rPr>
        <w:t xml:space="preserve">Accessoires d’étanchéité </w:t>
      </w:r>
      <w:proofErr w:type="spellStart"/>
      <w:r>
        <w:rPr>
          <w:rFonts w:eastAsia="Arial"/>
          <w:lang w:val="fr-CA"/>
        </w:rPr>
        <w:t>Willseal</w:t>
      </w:r>
      <w:r>
        <w:rPr>
          <w:rFonts w:eastAsia="Arial"/>
          <w:vertAlign w:val="superscript"/>
          <w:lang w:val="fr-CA"/>
        </w:rPr>
        <w:t>MD</w:t>
      </w:r>
      <w:proofErr w:type="spellEnd"/>
      <w:r>
        <w:rPr>
          <w:rFonts w:eastAsia="Arial"/>
          <w:lang w:val="fr-CA"/>
        </w:rPr>
        <w:t xml:space="preserve"> approuvés selon l</w:t>
      </w:r>
      <w:r>
        <w:rPr>
          <w:rFonts w:eastAsia="Arial"/>
          <w:lang w:val="fr-CA"/>
        </w:rPr>
        <w:t>es instructions d’application Willseal</w:t>
      </w:r>
      <w:bookmarkEnd w:id="5"/>
      <w:r>
        <w:rPr>
          <w:rFonts w:eastAsia="Arial"/>
          <w:lang w:val="fr-CA"/>
        </w:rPr>
        <w:t>.</w:t>
      </w:r>
    </w:p>
    <w:bookmarkEnd w:id="6"/>
    <w:bookmarkEnd w:id="7"/>
    <w:p w14:paraId="5593FDA8" w14:textId="77777777" w:rsidR="00EE1DF9" w:rsidRDefault="00EE1DF9">
      <w:pPr>
        <w:ind w:left="576" w:hanging="216"/>
        <w:jc w:val="both"/>
      </w:pPr>
    </w:p>
    <w:p w14:paraId="2977000E" w14:textId="77777777" w:rsidR="00EE1DF9" w:rsidRDefault="0044630F">
      <w:pPr>
        <w:pStyle w:val="PR1"/>
        <w:numPr>
          <w:ilvl w:val="0"/>
          <w:numId w:val="36"/>
        </w:numPr>
        <w:rPr>
          <w:rFonts w:cs="Arial"/>
        </w:rPr>
      </w:pPr>
      <w:r>
        <w:rPr>
          <w:rFonts w:eastAsia="Arial" w:cs="Arial"/>
          <w:lang w:val="fr-CA"/>
        </w:rPr>
        <w:t>EXÉCUTION</w:t>
      </w:r>
    </w:p>
    <w:p w14:paraId="5549F3C0" w14:textId="77777777" w:rsidR="00EE1DF9" w:rsidRDefault="0044630F">
      <w:pPr>
        <w:pStyle w:val="ART"/>
        <w:numPr>
          <w:ilvl w:val="3"/>
          <w:numId w:val="36"/>
        </w:numPr>
      </w:pPr>
      <w:r>
        <w:rPr>
          <w:rFonts w:eastAsia="Arial"/>
          <w:lang w:val="fr-CA"/>
        </w:rPr>
        <w:t>EXAMEN</w:t>
      </w:r>
    </w:p>
    <w:p w14:paraId="1118DE5A" w14:textId="77777777" w:rsidR="00EE1DF9" w:rsidRDefault="0044630F">
      <w:pPr>
        <w:pStyle w:val="PR1"/>
      </w:pPr>
      <w:r>
        <w:rPr>
          <w:rFonts w:eastAsia="Arial"/>
          <w:lang w:val="fr-CA"/>
        </w:rPr>
        <w:t xml:space="preserve">État de la surface :  Avant d’appliquer les matériaux de revêtement de circulation et les accessoires du système, examiner le substrat et son état pour s’assurer que les substrats sont </w:t>
      </w:r>
      <w:r>
        <w:rPr>
          <w:rFonts w:eastAsia="Arial"/>
          <w:lang w:val="fr-CA"/>
        </w:rPr>
        <w:t>entièrement durcis et exempts de taches élevées, de dépressions, de particules libres et étrangères et d’autres éléments dissuasifs à l’adhérence, et que les conditions sont conformes aux recommandations écrites du fabricant.</w:t>
      </w:r>
    </w:p>
    <w:p w14:paraId="0216CEC2" w14:textId="77777777" w:rsidR="00EE1DF9" w:rsidRDefault="0044630F">
      <w:pPr>
        <w:pStyle w:val="PR2"/>
        <w:spacing w:before="240"/>
      </w:pPr>
      <w:r>
        <w:rPr>
          <w:rFonts w:eastAsia="Arial"/>
          <w:lang w:val="fr-CA"/>
        </w:rPr>
        <w:t>Vérifier que les surfaces de b</w:t>
      </w:r>
      <w:r>
        <w:rPr>
          <w:rFonts w:eastAsia="Arial"/>
          <w:lang w:val="fr-CA"/>
        </w:rPr>
        <w:t xml:space="preserve">éton sont visiblement sèches, ont durci pendant la période recommandée par le fabricant du revêtement de circulation et sont exemptes d’agents de démoulage, d’agents de durcissement, de laitance et d’autres contaminants. </w:t>
      </w:r>
    </w:p>
    <w:p w14:paraId="40069476" w14:textId="77777777" w:rsidR="00EE1DF9" w:rsidRDefault="0044630F">
      <w:pPr>
        <w:pStyle w:val="PR2"/>
      </w:pPr>
      <w:r>
        <w:rPr>
          <w:rFonts w:eastAsia="Arial"/>
          <w:lang w:val="fr-CA"/>
        </w:rPr>
        <w:t>Tester les surfaces après le netto</w:t>
      </w:r>
      <w:r>
        <w:rPr>
          <w:rFonts w:eastAsia="Arial"/>
          <w:lang w:val="fr-CA"/>
        </w:rPr>
        <w:t>yage et l’abrasion spécifiés ci-dessous.</w:t>
      </w:r>
    </w:p>
    <w:p w14:paraId="577A3E3F" w14:textId="77777777" w:rsidR="00EE1DF9" w:rsidRDefault="0044630F">
      <w:pPr>
        <w:pStyle w:val="PR3"/>
        <w:spacing w:before="240"/>
      </w:pPr>
      <w:r>
        <w:rPr>
          <w:rFonts w:eastAsia="Arial"/>
          <w:lang w:val="fr-CA"/>
        </w:rPr>
        <w:t xml:space="preserve">Tester l’humidité capillaire par la méthode recommandée par écrit par le fabricant du revêtement de circulation. </w:t>
      </w:r>
    </w:p>
    <w:p w14:paraId="07B2DD64" w14:textId="77777777" w:rsidR="00EE1DF9" w:rsidRDefault="0044630F">
      <w:pPr>
        <w:pStyle w:val="PR3"/>
      </w:pPr>
      <w:r>
        <w:rPr>
          <w:rFonts w:eastAsia="Arial"/>
          <w:lang w:val="fr-CA"/>
        </w:rPr>
        <w:t>Tester l’adhérence du revêtement de circulation selon la méthode recommandée par le fabricant.</w:t>
      </w:r>
    </w:p>
    <w:p w14:paraId="73E40B62" w14:textId="77777777" w:rsidR="00EE1DF9" w:rsidRDefault="0044630F">
      <w:pPr>
        <w:pStyle w:val="PR3"/>
      </w:pPr>
      <w:r>
        <w:rPr>
          <w:rFonts w:eastAsia="Arial"/>
          <w:lang w:val="fr-CA"/>
        </w:rPr>
        <w:t>Aviser</w:t>
      </w:r>
      <w:r>
        <w:rPr>
          <w:rFonts w:eastAsia="Arial"/>
          <w:lang w:val="fr-CA"/>
        </w:rPr>
        <w:t xml:space="preserve"> l’architecte par écrit des conditions insatisfaisantes.</w:t>
      </w:r>
    </w:p>
    <w:p w14:paraId="0E95A870" w14:textId="77777777" w:rsidR="00EE1DF9" w:rsidRDefault="0044630F">
      <w:pPr>
        <w:pStyle w:val="PR1"/>
      </w:pPr>
      <w:r>
        <w:rPr>
          <w:rFonts w:eastAsia="Arial"/>
          <w:lang w:val="fr-CA"/>
        </w:rPr>
        <w:lastRenderedPageBreak/>
        <w:t>Procédez à l’installation une fois que les conditions insatisfaisantes ont été corrigées.</w:t>
      </w:r>
    </w:p>
    <w:p w14:paraId="1E6B91A7" w14:textId="77777777" w:rsidR="00EE1DF9" w:rsidRDefault="0044630F">
      <w:pPr>
        <w:pStyle w:val="ART"/>
      </w:pPr>
      <w:r>
        <w:rPr>
          <w:rFonts w:eastAsia="Arial"/>
          <w:lang w:val="fr-CA"/>
        </w:rPr>
        <w:t>PRÉPARATION</w:t>
      </w:r>
    </w:p>
    <w:p w14:paraId="1FBF79A7" w14:textId="77777777" w:rsidR="00EE1DF9" w:rsidRDefault="0044630F">
      <w:pPr>
        <w:pStyle w:val="PR1"/>
      </w:pPr>
      <w:r>
        <w:rPr>
          <w:rFonts w:eastAsia="Arial"/>
          <w:lang w:val="fr-CA"/>
        </w:rPr>
        <w:t>Préparation de la surface : Nettoyer, préparer et traiter les substrats conformément à la norme A</w:t>
      </w:r>
      <w:r>
        <w:rPr>
          <w:rFonts w:eastAsia="Arial"/>
          <w:lang w:val="fr-CA"/>
        </w:rPr>
        <w:t>STM C1127 et aux instructions écrites du fabricant du revêtement de circulation.</w:t>
      </w:r>
    </w:p>
    <w:p w14:paraId="0FAAC82C" w14:textId="77777777" w:rsidR="00EE1DF9" w:rsidRDefault="0044630F">
      <w:pPr>
        <w:pStyle w:val="PR2"/>
        <w:spacing w:before="240"/>
      </w:pPr>
      <w:r>
        <w:rPr>
          <w:rFonts w:eastAsia="Arial"/>
          <w:lang w:val="fr-CA"/>
        </w:rPr>
        <w:t>Éliminer des substrats les contaminants, les composés de durcissement et les couches formant un film.</w:t>
      </w:r>
    </w:p>
    <w:p w14:paraId="25CE04EC" w14:textId="77777777" w:rsidR="00EE1DF9" w:rsidRDefault="0044630F">
      <w:pPr>
        <w:pStyle w:val="PR2"/>
      </w:pPr>
      <w:r>
        <w:rPr>
          <w:rFonts w:eastAsia="Arial"/>
          <w:lang w:val="fr-CA"/>
        </w:rPr>
        <w:t>Éliminez les projections et les matériaux excédentaires et remplissez les</w:t>
      </w:r>
      <w:r>
        <w:rPr>
          <w:rFonts w:eastAsia="Arial"/>
          <w:lang w:val="fr-CA"/>
        </w:rPr>
        <w:t xml:space="preserve"> vides avec le matériau de ragréage de substrat recommandé par le fabricant.</w:t>
      </w:r>
    </w:p>
    <w:p w14:paraId="6B9F8967" w14:textId="77777777" w:rsidR="00EE1DF9" w:rsidRDefault="0044630F">
      <w:pPr>
        <w:pStyle w:val="PR2"/>
      </w:pPr>
      <w:r>
        <w:rPr>
          <w:rFonts w:eastAsia="Arial"/>
          <w:lang w:val="fr-CA"/>
        </w:rPr>
        <w:t>Abraser mécaniquement les surfaces en béton à un profil uniforme conformément à la norme ASTM D4259 et au profil de surface ICRI CSP 2-4. Ne pas appliquer de mordançage à l’acide.</w:t>
      </w:r>
    </w:p>
    <w:p w14:paraId="6267330C" w14:textId="77777777" w:rsidR="00EE1DF9" w:rsidRDefault="0044630F">
      <w:pPr>
        <w:pStyle w:val="PR2"/>
      </w:pPr>
      <w:r>
        <w:rPr>
          <w:rFonts w:eastAsia="Arial"/>
          <w:lang w:val="fr-CA"/>
        </w:rPr>
        <w:t>Nettoyer les surfaces préparées conformément à la norme ASTM D4258.</w:t>
      </w:r>
    </w:p>
    <w:p w14:paraId="2C1E2C4D" w14:textId="77777777" w:rsidR="00EE1DF9" w:rsidRDefault="0044630F">
      <w:pPr>
        <w:pStyle w:val="PR1"/>
      </w:pPr>
      <w:r>
        <w:rPr>
          <w:rFonts w:eastAsia="Arial"/>
          <w:lang w:val="fr-CA"/>
        </w:rPr>
        <w:t>Protéger les surfaces finies adjacentes en les masquant. Masquer le point d’extrémité sur les surfaces verticales. Protégez les trous d’évacuation et les drains.</w:t>
      </w:r>
    </w:p>
    <w:p w14:paraId="1C9650C1" w14:textId="77777777" w:rsidR="00EE1DF9" w:rsidRDefault="0044630F">
      <w:pPr>
        <w:pStyle w:val="PR1"/>
      </w:pPr>
      <w:r>
        <w:rPr>
          <w:rFonts w:eastAsia="Arial"/>
          <w:lang w:val="fr-CA"/>
        </w:rPr>
        <w:t xml:space="preserve">Pour les </w:t>
      </w:r>
      <w:r>
        <w:rPr>
          <w:rFonts w:eastAsia="Arial"/>
          <w:lang w:val="fr-CA"/>
        </w:rPr>
        <w:t>matériaux accessoires, suivre les instructions d’application du fabricant.</w:t>
      </w:r>
    </w:p>
    <w:p w14:paraId="4DA4BA3A" w14:textId="77777777" w:rsidR="00EE1DF9" w:rsidRDefault="0044630F">
      <w:pPr>
        <w:pStyle w:val="ART"/>
      </w:pPr>
      <w:r>
        <w:rPr>
          <w:rFonts w:eastAsia="Arial"/>
          <w:lang w:val="fr-CA"/>
        </w:rPr>
        <w:t>EXTRÉMITÉS ET PÉNÉTRATIONS</w:t>
      </w:r>
    </w:p>
    <w:p w14:paraId="4389332A" w14:textId="77777777" w:rsidR="00EE1DF9" w:rsidRDefault="0044630F">
      <w:pPr>
        <w:pStyle w:val="PR1"/>
      </w:pPr>
      <w:r>
        <w:rPr>
          <w:rFonts w:eastAsia="Arial"/>
          <w:lang w:val="fr-CA"/>
        </w:rPr>
        <w:t>Préparer les surfaces verticales et horizontales aux transitions horizontales à verticales, aux extrémités, aux joints et aux pénétrations à travers les r</w:t>
      </w:r>
      <w:r>
        <w:rPr>
          <w:rFonts w:eastAsia="Arial"/>
          <w:lang w:val="fr-CA"/>
        </w:rPr>
        <w:t>evêtements de circulation conformément à la norme ASTM C1127 et aux instructions écrites du fabricant, en utilisant les matériaux accessoires spécifiés.</w:t>
      </w:r>
    </w:p>
    <w:p w14:paraId="017CA1E9" w14:textId="77777777" w:rsidR="00EE1DF9" w:rsidRDefault="0044630F">
      <w:pPr>
        <w:pStyle w:val="PR1"/>
      </w:pPr>
      <w:r>
        <w:rPr>
          <w:rFonts w:eastAsia="Arial"/>
          <w:lang w:val="fr-CA"/>
        </w:rPr>
        <w:t xml:space="preserve">Aux extrémités du revêtement de circulation exposées à la circulation, défoncer une rainure de 6,35 mm </w:t>
      </w:r>
      <w:r>
        <w:rPr>
          <w:rFonts w:eastAsia="Arial"/>
          <w:lang w:val="fr-CA"/>
        </w:rPr>
        <w:t>sur 6,35 mm (1/4 po sur 1/4 po) dans le béton.</w:t>
      </w:r>
    </w:p>
    <w:p w14:paraId="255C1E58" w14:textId="77777777" w:rsidR="00EE1DF9" w:rsidRDefault="0044630F">
      <w:pPr>
        <w:pStyle w:val="PR1"/>
      </w:pPr>
      <w:r>
        <w:rPr>
          <w:rFonts w:eastAsia="Arial"/>
          <w:lang w:val="fr-CA"/>
        </w:rPr>
        <w:t xml:space="preserve">Préparation détaillée : Préparer les fissures de rétrécissement fixes, les grandes fissures, les joints de construction, les joints de dilatation, les projections et les saillies, les pénétrations, les drains </w:t>
      </w:r>
      <w:r>
        <w:rPr>
          <w:rFonts w:eastAsia="Arial"/>
          <w:lang w:val="fr-CA"/>
        </w:rPr>
        <w:t>et les changements de plan conformément aux instructions et aux détails écrits du fabricant.</w:t>
      </w:r>
    </w:p>
    <w:p w14:paraId="5A04E05F" w14:textId="77777777" w:rsidR="00EE1DF9" w:rsidRDefault="0044630F">
      <w:pPr>
        <w:pStyle w:val="PR2"/>
        <w:spacing w:before="240"/>
      </w:pPr>
      <w:r>
        <w:rPr>
          <w:rFonts w:eastAsia="Arial"/>
          <w:lang w:val="fr-CA"/>
        </w:rPr>
        <w:t>Préparer les joints et les fissures dans le substrat conformément aux normes ASTM C1127 et ASTM D4258 et aux instructions écrites du fabricant.</w:t>
      </w:r>
    </w:p>
    <w:p w14:paraId="08209004" w14:textId="77777777" w:rsidR="00EE1DF9" w:rsidRDefault="0044630F">
      <w:pPr>
        <w:pStyle w:val="PR1"/>
      </w:pPr>
      <w:r>
        <w:rPr>
          <w:rFonts w:eastAsia="Arial"/>
          <w:lang w:val="fr-CA"/>
        </w:rPr>
        <w:t>Installation des jo</w:t>
      </w:r>
      <w:r>
        <w:rPr>
          <w:rFonts w:eastAsia="Arial"/>
          <w:lang w:val="fr-CA"/>
        </w:rPr>
        <w:t>ints d’étanchéité : Se conformer à la norme ASTM C1193 et aux instructions écrites du fabricant. Laissez les joints d’étanchéité durcir adéquatement avant de les recouvrir d’un revêtement de circulation.</w:t>
      </w:r>
    </w:p>
    <w:p w14:paraId="6441B009" w14:textId="77777777" w:rsidR="00EE1DF9" w:rsidRDefault="0044630F">
      <w:pPr>
        <w:pStyle w:val="PR2"/>
        <w:spacing w:before="240"/>
      </w:pPr>
      <w:r>
        <w:rPr>
          <w:rFonts w:eastAsia="Arial"/>
          <w:lang w:val="fr-CA"/>
        </w:rPr>
        <w:t>Fournir des cales de joints d’étanchéité avec des ti</w:t>
      </w:r>
      <w:r>
        <w:rPr>
          <w:rFonts w:eastAsia="Arial"/>
          <w:lang w:val="fr-CA"/>
        </w:rPr>
        <w:t>ges d’appui aux pénétrations et aux intersections horizontales à verticales. Utiliser le matériau d'étanchéité pour former une transition à angle de 45 degrés.</w:t>
      </w:r>
    </w:p>
    <w:p w14:paraId="470B2728" w14:textId="77777777" w:rsidR="00EE1DF9" w:rsidRDefault="0044630F">
      <w:pPr>
        <w:pStyle w:val="PR2"/>
      </w:pPr>
      <w:r>
        <w:rPr>
          <w:rFonts w:eastAsia="Arial"/>
          <w:lang w:val="fr-CA"/>
        </w:rPr>
        <w:t>Défoncer et remplir les fissures avec un enduit d'étanchéité et les façonner au niveau de la sur</w:t>
      </w:r>
      <w:r>
        <w:rPr>
          <w:rFonts w:eastAsia="Arial"/>
          <w:lang w:val="fr-CA"/>
        </w:rPr>
        <w:t>face.</w:t>
      </w:r>
    </w:p>
    <w:p w14:paraId="11E9F3DD" w14:textId="77777777" w:rsidR="00EE1DF9" w:rsidRDefault="0044630F">
      <w:pPr>
        <w:pStyle w:val="PR2"/>
      </w:pPr>
      <w:r>
        <w:rPr>
          <w:rFonts w:eastAsia="Arial"/>
          <w:lang w:val="fr-CA"/>
        </w:rPr>
        <w:t>Réduire les bords des applications de joints d’étanchéité.</w:t>
      </w:r>
    </w:p>
    <w:p w14:paraId="573D1FF4" w14:textId="77777777" w:rsidR="00EE1DF9" w:rsidRDefault="0044630F">
      <w:pPr>
        <w:pStyle w:val="PR2"/>
      </w:pPr>
      <w:r>
        <w:rPr>
          <w:rFonts w:eastAsia="Arial"/>
          <w:lang w:val="fr-CA"/>
        </w:rPr>
        <w:t>Laisser durcir le joint d’étanchéité. Appliquer la couche détaillée de la couche de fond sur les fissures et les joints non remplis et comblés et réduire les bords des extrémités.</w:t>
      </w:r>
    </w:p>
    <w:p w14:paraId="5EFFB618" w14:textId="77777777" w:rsidR="00EE1DF9" w:rsidRDefault="0044630F">
      <w:pPr>
        <w:pStyle w:val="PR2"/>
      </w:pPr>
      <w:r>
        <w:rPr>
          <w:rFonts w:eastAsia="Arial"/>
          <w:lang w:val="fr-CA"/>
        </w:rPr>
        <w:t>Remplir les</w:t>
      </w:r>
      <w:r>
        <w:rPr>
          <w:rFonts w:eastAsia="Arial"/>
          <w:lang w:val="fr-CA"/>
        </w:rPr>
        <w:t xml:space="preserve"> joints de dilatation de moins de 2,5 cm (1 po) avec une tige d’appui et un enduit d’étanchéité. Ne pas appliquer de revêtement de circulation sur les joints de dilatation.</w:t>
      </w:r>
    </w:p>
    <w:p w14:paraId="12F9AA7C" w14:textId="77777777" w:rsidR="00EE1DF9" w:rsidRDefault="0044630F">
      <w:pPr>
        <w:pStyle w:val="PR2"/>
        <w:rPr>
          <w:lang w:val="en-US"/>
        </w:rPr>
      </w:pPr>
      <w:r>
        <w:rPr>
          <w:rFonts w:eastAsia="Arial"/>
          <w:lang w:val="fr-CA"/>
        </w:rPr>
        <w:t>Remplir les joints de dilatation de plus de 2,5 cm (1 po) avec le matériau de joint</w:t>
      </w:r>
      <w:r>
        <w:rPr>
          <w:rFonts w:eastAsia="Arial"/>
          <w:lang w:val="fr-CA"/>
        </w:rPr>
        <w:t xml:space="preserve"> de dilatation </w:t>
      </w:r>
      <w:proofErr w:type="spellStart"/>
      <w:r>
        <w:rPr>
          <w:rFonts w:eastAsia="Arial"/>
          <w:lang w:val="fr-CA"/>
        </w:rPr>
        <w:t>Willseal</w:t>
      </w:r>
      <w:r>
        <w:rPr>
          <w:rFonts w:eastAsia="Arial"/>
          <w:vertAlign w:val="superscript"/>
          <w:lang w:val="fr-CA"/>
        </w:rPr>
        <w:t>MD</w:t>
      </w:r>
      <w:proofErr w:type="spellEnd"/>
      <w:r>
        <w:rPr>
          <w:rFonts w:eastAsia="Arial"/>
          <w:lang w:val="fr-CA"/>
        </w:rPr>
        <w:t xml:space="preserve"> spécifié, communiquer avec Tremco pour obtenir la recommandation </w:t>
      </w:r>
      <w:r>
        <w:rPr>
          <w:rFonts w:eastAsia="Arial"/>
          <w:lang w:val="fr-CA"/>
        </w:rPr>
        <w:lastRenderedPageBreak/>
        <w:t>d’enduit d’étanchéité. Ne pas appliquer de revêtement de circulation sur les joints de dilatation.</w:t>
      </w:r>
    </w:p>
    <w:p w14:paraId="0F0E22E1" w14:textId="77777777" w:rsidR="00EE1DF9" w:rsidRDefault="0044630F">
      <w:pPr>
        <w:pStyle w:val="ART"/>
      </w:pPr>
      <w:r>
        <w:rPr>
          <w:rFonts w:eastAsia="Arial"/>
          <w:lang w:val="fr-CA"/>
        </w:rPr>
        <w:t>APPLICATION DE REVÊTEMENT DE CIRCULATION DES VÉHICULES</w:t>
      </w:r>
    </w:p>
    <w:p w14:paraId="2C5CBE52" w14:textId="77777777" w:rsidR="00EE1DF9" w:rsidRDefault="0044630F">
      <w:pPr>
        <w:pStyle w:val="PR1"/>
      </w:pPr>
      <w:r>
        <w:rPr>
          <w:rFonts w:eastAsia="Arial"/>
          <w:lang w:val="fr-CA"/>
        </w:rPr>
        <w:t>Apprêt : Ap</w:t>
      </w:r>
      <w:r>
        <w:rPr>
          <w:rFonts w:eastAsia="Arial"/>
          <w:lang w:val="fr-CA"/>
        </w:rPr>
        <w:t xml:space="preserve">prêter les surfaces métalliques, les surfaces poreuses (au besoin) et les couches précédentes laissées sans revêtement pendant plus de 24 heures ou qui ont perdu l'adhérence de la surface, avec l'apprêt recommandé par le fabricant. Laisser durcir avant de </w:t>
      </w:r>
      <w:r>
        <w:rPr>
          <w:rFonts w:eastAsia="Arial"/>
          <w:lang w:val="fr-CA"/>
        </w:rPr>
        <w:t>continuer.</w:t>
      </w:r>
    </w:p>
    <w:p w14:paraId="7CFE2C8C" w14:textId="77777777" w:rsidR="00EE1DF9" w:rsidRDefault="0044630F">
      <w:pPr>
        <w:pStyle w:val="CMT"/>
      </w:pPr>
      <w:r>
        <w:t>Specifier</w:t>
      </w:r>
      <w:r>
        <w:rPr>
          <w:lang w:val="en-US"/>
        </w:rPr>
        <w:t xml:space="preserve">: </w:t>
      </w:r>
      <w:r>
        <w:t>Retain first paragraph below if applicable; recommended for large scale or critical applications.</w:t>
      </w:r>
    </w:p>
    <w:p w14:paraId="3DFFF21E" w14:textId="77777777" w:rsidR="00EE1DF9" w:rsidRDefault="0044630F">
      <w:pPr>
        <w:pStyle w:val="PR1"/>
      </w:pPr>
      <w:r>
        <w:rPr>
          <w:rFonts w:eastAsia="Arial"/>
          <w:lang w:val="fr-CA"/>
        </w:rPr>
        <w:t>Commencer l’application du revêtement de circulation en présence du représentant technique du fabricant.</w:t>
      </w:r>
    </w:p>
    <w:p w14:paraId="1EF83B19" w14:textId="77777777" w:rsidR="00EE1DF9" w:rsidRDefault="0044630F">
      <w:pPr>
        <w:pStyle w:val="PR1"/>
      </w:pPr>
      <w:r>
        <w:rPr>
          <w:rFonts w:eastAsia="Arial"/>
          <w:lang w:val="fr-CA"/>
        </w:rPr>
        <w:t>Appliquer le revêtement de circ</w:t>
      </w:r>
      <w:r>
        <w:rPr>
          <w:rFonts w:eastAsia="Arial"/>
          <w:lang w:val="fr-CA"/>
        </w:rPr>
        <w:t xml:space="preserve">ulation selon la norme ASTM C1127 et les instructions écrites du fabricant. </w:t>
      </w:r>
    </w:p>
    <w:p w14:paraId="33FFEB86" w14:textId="77777777" w:rsidR="00EE1DF9" w:rsidRDefault="0044630F">
      <w:pPr>
        <w:pStyle w:val="PR2"/>
        <w:spacing w:before="240"/>
      </w:pPr>
      <w:r>
        <w:rPr>
          <w:rFonts w:eastAsia="Arial"/>
          <w:lang w:val="fr-CA"/>
        </w:rPr>
        <w:t>Vérifier que l’épaisseur du film humide de chaque couche est conforme aux exigences tous les [</w:t>
      </w:r>
      <w:r>
        <w:rPr>
          <w:rFonts w:eastAsia="Arial"/>
          <w:color w:val="FF0000"/>
          <w:lang w:val="fr-CA"/>
        </w:rPr>
        <w:t>9 m²</w:t>
      </w:r>
      <w:r>
        <w:rPr>
          <w:rFonts w:eastAsia="Arial"/>
          <w:color w:val="008080"/>
          <w:lang w:val="fr-CA"/>
        </w:rPr>
        <w:t xml:space="preserve"> (100 pi²)</w:t>
      </w:r>
      <w:r>
        <w:rPr>
          <w:rFonts w:eastAsia="Arial"/>
          <w:lang w:val="fr-CA"/>
        </w:rPr>
        <w:t>].</w:t>
      </w:r>
    </w:p>
    <w:p w14:paraId="7BFB4B6B" w14:textId="77777777" w:rsidR="00EE1DF9" w:rsidRDefault="0044630F">
      <w:pPr>
        <w:pStyle w:val="CMT"/>
        <w:rPr>
          <w:lang w:val="en-US"/>
        </w:rPr>
      </w:pPr>
      <w:r>
        <w:rPr>
          <w:lang w:val="en-US"/>
        </w:rPr>
        <w:t>Specifier: Edit number of coats below based upon manufacturer's reco</w:t>
      </w:r>
      <w:r>
        <w:rPr>
          <w:lang w:val="en-US"/>
        </w:rPr>
        <w:t>mmendation for type of traffic. Intermediate coat is typically recommended for heavy traffic areas.</w:t>
      </w:r>
    </w:p>
    <w:p w14:paraId="72893C9B" w14:textId="77777777" w:rsidR="00EE1DF9" w:rsidRDefault="0044630F">
      <w:pPr>
        <w:pStyle w:val="PR1"/>
      </w:pPr>
      <w:r>
        <w:rPr>
          <w:rFonts w:eastAsia="Arial"/>
          <w:lang w:val="fr-CA"/>
        </w:rPr>
        <w:t>Appliquer le nombre de couches de compositions spécifiées pour le revêtement de circulation véhiculaire aux endroits indiqués sur les dessins.</w:t>
      </w:r>
    </w:p>
    <w:p w14:paraId="15E70684" w14:textId="77777777" w:rsidR="00EE1DF9" w:rsidRDefault="0044630F">
      <w:pPr>
        <w:pStyle w:val="PR2"/>
        <w:spacing w:before="240"/>
      </w:pPr>
      <w:r>
        <w:rPr>
          <w:rFonts w:eastAsia="Arial"/>
          <w:lang w:val="fr-CA"/>
        </w:rPr>
        <w:t>Couche de fon</w:t>
      </w:r>
      <w:r>
        <w:rPr>
          <w:rFonts w:eastAsia="Arial"/>
          <w:lang w:val="fr-CA"/>
        </w:rPr>
        <w:t xml:space="preserve">d : Application unique d’au moins </w:t>
      </w:r>
      <w:r>
        <w:rPr>
          <w:rFonts w:eastAsia="Arial"/>
          <w:color w:val="FF0000"/>
          <w:lang w:val="fr-CA"/>
        </w:rPr>
        <w:t>0,635 mm</w:t>
      </w:r>
      <w:r>
        <w:rPr>
          <w:rFonts w:eastAsia="Arial"/>
          <w:color w:val="008080"/>
          <w:lang w:val="fr-CA"/>
        </w:rPr>
        <w:t xml:space="preserve"> (25 mil).</w:t>
      </w:r>
    </w:p>
    <w:p w14:paraId="5AF1A156" w14:textId="77777777" w:rsidR="00EE1DF9" w:rsidRDefault="0044630F">
      <w:pPr>
        <w:pStyle w:val="PR2"/>
        <w:spacing w:before="240"/>
      </w:pPr>
      <w:r>
        <w:rPr>
          <w:rFonts w:eastAsia="Arial"/>
          <w:lang w:val="fr-CA"/>
        </w:rPr>
        <w:t xml:space="preserve">Couche intermédiaire : Application unique au rouleau, d’au moins </w:t>
      </w:r>
      <w:r>
        <w:rPr>
          <w:rFonts w:eastAsia="Arial"/>
          <w:color w:val="FF0000"/>
          <w:lang w:val="fr-CA"/>
        </w:rPr>
        <w:t>0,0355 mm</w:t>
      </w:r>
      <w:r>
        <w:rPr>
          <w:rFonts w:eastAsia="Arial"/>
          <w:color w:val="008080"/>
          <w:lang w:val="fr-CA"/>
        </w:rPr>
        <w:t xml:space="preserve"> (12 </w:t>
      </w:r>
      <w:proofErr w:type="spellStart"/>
      <w:r>
        <w:rPr>
          <w:rFonts w:eastAsia="Arial"/>
          <w:color w:val="008080"/>
          <w:lang w:val="fr-CA"/>
        </w:rPr>
        <w:t>mils</w:t>
      </w:r>
      <w:proofErr w:type="spellEnd"/>
      <w:r>
        <w:rPr>
          <w:rFonts w:eastAsia="Arial"/>
          <w:color w:val="008080"/>
          <w:lang w:val="fr-CA"/>
        </w:rPr>
        <w:t>)</w:t>
      </w:r>
      <w:r>
        <w:rPr>
          <w:rFonts w:eastAsia="Arial"/>
          <w:lang w:val="fr-CA"/>
        </w:rPr>
        <w:t>.</w:t>
      </w:r>
    </w:p>
    <w:p w14:paraId="02C7409B" w14:textId="77777777" w:rsidR="00EE1DF9" w:rsidRDefault="0044630F">
      <w:pPr>
        <w:pStyle w:val="PR2"/>
        <w:outlineLvl w:val="9"/>
      </w:pPr>
      <w:r>
        <w:rPr>
          <w:rFonts w:eastAsia="Arial"/>
          <w:lang w:val="fr-CA"/>
        </w:rPr>
        <w:t xml:space="preserve">Couche de finition : Application unique au rouleau, d’au moins </w:t>
      </w:r>
      <w:r>
        <w:rPr>
          <w:rFonts w:eastAsia="Arial"/>
          <w:color w:val="FF0000"/>
          <w:lang w:val="fr-CA"/>
        </w:rPr>
        <w:t>0,0355 mm</w:t>
      </w:r>
      <w:r>
        <w:rPr>
          <w:rFonts w:eastAsia="Arial"/>
          <w:color w:val="008080"/>
          <w:lang w:val="fr-CA"/>
        </w:rPr>
        <w:t xml:space="preserve"> (12 </w:t>
      </w:r>
      <w:proofErr w:type="spellStart"/>
      <w:r>
        <w:rPr>
          <w:rFonts w:eastAsia="Arial"/>
          <w:color w:val="008080"/>
          <w:lang w:val="fr-CA"/>
        </w:rPr>
        <w:t>mils</w:t>
      </w:r>
      <w:proofErr w:type="spellEnd"/>
      <w:r>
        <w:rPr>
          <w:rFonts w:eastAsia="Arial"/>
          <w:color w:val="008080"/>
          <w:lang w:val="fr-CA"/>
        </w:rPr>
        <w:t>)</w:t>
      </w:r>
      <w:r>
        <w:rPr>
          <w:rFonts w:eastAsia="Arial"/>
          <w:lang w:val="fr-CA"/>
        </w:rPr>
        <w:t>.</w:t>
      </w:r>
    </w:p>
    <w:p w14:paraId="31061E0D" w14:textId="77777777" w:rsidR="00EE1DF9" w:rsidRDefault="0044630F">
      <w:pPr>
        <w:pStyle w:val="PR2"/>
      </w:pPr>
      <w:r>
        <w:rPr>
          <w:rFonts w:eastAsia="Arial"/>
          <w:lang w:val="fr-CA"/>
        </w:rPr>
        <w:t>Granulat : Diffuser uniformément le granulat sur les couches spécifiées pour recevoir le granulat.  Intégrer le granulat conformément aux instructions écrites du fabricant.</w:t>
      </w:r>
      <w:r>
        <w:rPr>
          <w:rFonts w:eastAsia="Arial"/>
          <w:lang w:val="fr-CA"/>
        </w:rPr>
        <w:t xml:space="preserve">  </w:t>
      </w:r>
    </w:p>
    <w:p w14:paraId="52BBA4DA" w14:textId="77777777" w:rsidR="00EE1DF9" w:rsidRDefault="0044630F">
      <w:pPr>
        <w:pStyle w:val="PR1"/>
      </w:pPr>
      <w:r>
        <w:rPr>
          <w:rFonts w:eastAsia="Arial"/>
          <w:lang w:val="fr-CA"/>
        </w:rPr>
        <w:t>Appliquer les revêtements de circulation sur les extrémités murales préparées et les surfaces verticales à la hauteur indiquée ; omettre le granulat sur les surfaces verticales.</w:t>
      </w:r>
    </w:p>
    <w:p w14:paraId="03B01EA8" w14:textId="77777777" w:rsidR="00EE1DF9" w:rsidRDefault="0044630F">
      <w:pPr>
        <w:pStyle w:val="PR1"/>
      </w:pPr>
      <w:r>
        <w:rPr>
          <w:rFonts w:eastAsia="Arial"/>
          <w:lang w:val="fr-CA"/>
        </w:rPr>
        <w:t xml:space="preserve">Durcir les revêtements de circulation.  Éviter la </w:t>
      </w:r>
      <w:r>
        <w:rPr>
          <w:rFonts w:eastAsia="Arial"/>
          <w:lang w:val="fr-CA"/>
        </w:rPr>
        <w:t>contamination et les dommages pendant les étapes d’application et de durcissement.</w:t>
      </w:r>
    </w:p>
    <w:p w14:paraId="1694D63F" w14:textId="77777777" w:rsidR="00EE1DF9" w:rsidRDefault="0044630F">
      <w:pPr>
        <w:pStyle w:val="ART"/>
      </w:pPr>
      <w:r>
        <w:rPr>
          <w:rFonts w:eastAsia="Arial"/>
          <w:lang w:val="fr-CA"/>
        </w:rPr>
        <w:t>CONTRÔLE DE LA QUALITÉ SUR LE TERRAIN</w:t>
      </w:r>
    </w:p>
    <w:p w14:paraId="66EBDFBD" w14:textId="77777777" w:rsidR="00EE1DF9" w:rsidRDefault="0044630F">
      <w:pPr>
        <w:pStyle w:val="CMT"/>
      </w:pPr>
      <w:r>
        <w:t>Specifier</w:t>
      </w:r>
      <w:r>
        <w:rPr>
          <w:lang w:val="en-US"/>
        </w:rPr>
        <w:t xml:space="preserve">: </w:t>
      </w:r>
      <w:r>
        <w:t xml:space="preserve">Retain "Testing Agency" Paragraph below </w:t>
      </w:r>
      <w:r>
        <w:rPr>
          <w:lang w:val="en-US"/>
        </w:rPr>
        <w:t xml:space="preserve">if applicable to Project, and edit </w:t>
      </w:r>
      <w:r>
        <w:t xml:space="preserve">to identify </w:t>
      </w:r>
      <w:r>
        <w:rPr>
          <w:lang w:val="en-US"/>
        </w:rPr>
        <w:t>party retaining independent agency to</w:t>
      </w:r>
      <w:r>
        <w:t xml:space="preserve"> perform tests and inspections.</w:t>
      </w:r>
    </w:p>
    <w:p w14:paraId="01F33FFD" w14:textId="77777777" w:rsidR="00EE1DF9" w:rsidRDefault="0044630F">
      <w:pPr>
        <w:pStyle w:val="PR1"/>
      </w:pPr>
      <w:r>
        <w:rPr>
          <w:rFonts w:eastAsia="Arial"/>
          <w:lang w:val="fr-CA"/>
        </w:rPr>
        <w:t>Organisme d’essais : [Le Propriétaire engagera] [engager] un organisme d’essais qualifié pour inspecter l’état des substrats, la préparation des surfaces, l’application du revêtement de circulation, la protection et les comp</w:t>
      </w:r>
      <w:r>
        <w:rPr>
          <w:rFonts w:eastAsia="Arial"/>
          <w:lang w:val="fr-CA"/>
        </w:rPr>
        <w:t>osants de drainage, et pour fournir des rapports à l’architecte.</w:t>
      </w:r>
    </w:p>
    <w:p w14:paraId="6BEA76B8" w14:textId="77777777" w:rsidR="00EE1DF9" w:rsidRDefault="0044630F">
      <w:pPr>
        <w:pStyle w:val="PR1"/>
      </w:pPr>
      <w:r>
        <w:rPr>
          <w:rFonts w:eastAsia="Arial"/>
          <w:lang w:val="fr-CA"/>
        </w:rPr>
        <w:t xml:space="preserve">Coordination des tests : Coopérer avec l’organisme d’essais.  Permettre l’accès aux zones de travaux et à la mise en place.  Aviser l’organisme d’essais par écrit du programme des travaux de </w:t>
      </w:r>
      <w:r>
        <w:rPr>
          <w:rFonts w:eastAsia="Arial"/>
          <w:lang w:val="fr-CA"/>
        </w:rPr>
        <w:t xml:space="preserve">cette section afin de prévoir suffisamment de temps pour les tests et l’inspection. </w:t>
      </w:r>
    </w:p>
    <w:p w14:paraId="1CD95853" w14:textId="77777777" w:rsidR="00EE1DF9" w:rsidRDefault="0044630F">
      <w:pPr>
        <w:pStyle w:val="PR2"/>
        <w:spacing w:before="240"/>
      </w:pPr>
      <w:r>
        <w:rPr>
          <w:rFonts w:eastAsia="Arial"/>
          <w:lang w:val="fr-CA"/>
        </w:rPr>
        <w:t xml:space="preserve">Ne pas couvrir le travail avant que les tests et l’inspection soient terminés et acceptés. </w:t>
      </w:r>
    </w:p>
    <w:p w14:paraId="591E2CB6" w14:textId="77777777" w:rsidR="00EE1DF9" w:rsidRDefault="0044630F">
      <w:pPr>
        <w:pStyle w:val="PR1"/>
      </w:pPr>
      <w:r>
        <w:rPr>
          <w:rFonts w:eastAsia="Arial"/>
          <w:lang w:val="fr-CA"/>
        </w:rPr>
        <w:t>Rapports :  Transmettre les rapports d’inspection écrits à l’architecte dans le</w:t>
      </w:r>
      <w:r>
        <w:rPr>
          <w:rFonts w:eastAsia="Arial"/>
          <w:lang w:val="fr-CA"/>
        </w:rPr>
        <w:t>s 3 jours ouvrables suivant l’inspection et les tests effectués.</w:t>
      </w:r>
    </w:p>
    <w:p w14:paraId="75A623AC" w14:textId="77777777" w:rsidR="00EE1DF9" w:rsidRDefault="0044630F">
      <w:pPr>
        <w:pStyle w:val="PR1"/>
      </w:pPr>
      <w:r>
        <w:rPr>
          <w:rFonts w:eastAsia="Arial"/>
          <w:lang w:val="fr-CA"/>
        </w:rPr>
        <w:t>Correction :  Corriger les applications déficientes qui ne réussissent pas les tests et les inspections, effectuer les réparations nécessaires et refaire les tests au besoin pour démontrer la</w:t>
      </w:r>
      <w:r>
        <w:rPr>
          <w:rFonts w:eastAsia="Arial"/>
          <w:lang w:val="fr-CA"/>
        </w:rPr>
        <w:t xml:space="preserve"> conformité aux exigences.</w:t>
      </w:r>
    </w:p>
    <w:p w14:paraId="01B36A5C" w14:textId="77777777" w:rsidR="00EE1DF9" w:rsidRDefault="0044630F">
      <w:pPr>
        <w:pStyle w:val="ART"/>
      </w:pPr>
      <w:r>
        <w:rPr>
          <w:rFonts w:eastAsia="Arial"/>
          <w:lang w:val="fr-CA"/>
        </w:rPr>
        <w:lastRenderedPageBreak/>
        <w:t>NETTOYAGE ET PROTECTION</w:t>
      </w:r>
    </w:p>
    <w:p w14:paraId="5B03FC0D" w14:textId="77777777" w:rsidR="00EE1DF9" w:rsidRDefault="0044630F">
      <w:pPr>
        <w:pStyle w:val="PR1"/>
      </w:pPr>
      <w:r>
        <w:rPr>
          <w:rFonts w:eastAsia="Arial"/>
          <w:lang w:val="fr-CA"/>
        </w:rPr>
        <w:t xml:space="preserve">Nettoyer les déversements, les taches et la </w:t>
      </w:r>
      <w:proofErr w:type="spellStart"/>
      <w:r>
        <w:rPr>
          <w:rFonts w:eastAsia="Arial"/>
          <w:lang w:val="fr-CA"/>
        </w:rPr>
        <w:t>surpulvérisation</w:t>
      </w:r>
      <w:proofErr w:type="spellEnd"/>
      <w:r>
        <w:rPr>
          <w:rFonts w:eastAsia="Arial"/>
          <w:lang w:val="fr-CA"/>
        </w:rPr>
        <w:t xml:space="preserve"> causés par l’application en utilisant les agents de nettoyage recommandés par les fabricants de la construction affectée.  Retirer les matériaux</w:t>
      </w:r>
      <w:r>
        <w:rPr>
          <w:rFonts w:eastAsia="Arial"/>
          <w:lang w:val="fr-CA"/>
        </w:rPr>
        <w:t xml:space="preserve"> de masquage.</w:t>
      </w:r>
    </w:p>
    <w:p w14:paraId="42E95425" w14:textId="77777777" w:rsidR="00EE1DF9" w:rsidRDefault="0044630F">
      <w:pPr>
        <w:pStyle w:val="PR1"/>
      </w:pPr>
      <w:r>
        <w:rPr>
          <w:rFonts w:eastAsia="Arial"/>
          <w:lang w:val="fr-CA"/>
        </w:rPr>
        <w:t>Protéger le revêtement de circulation contre les dommages causés par les travaux subséquents.  Protéger les matériaux de revêtement de circulation contre l’exposition aux rayons UV pendant une période supérieure à ce qui est acceptable pour l</w:t>
      </w:r>
      <w:r>
        <w:rPr>
          <w:rFonts w:eastAsia="Arial"/>
          <w:lang w:val="fr-CA"/>
        </w:rPr>
        <w:t>e fabricant du revêtement de circulation ; remplacer les matériaux surexposés et tester à nouveau.</w:t>
      </w:r>
    </w:p>
    <w:p w14:paraId="0C4DDC9F" w14:textId="77777777" w:rsidR="00EE1DF9" w:rsidRDefault="0044630F">
      <w:pPr>
        <w:pStyle w:val="EOS"/>
        <w:jc w:val="center"/>
      </w:pPr>
      <w:r>
        <w:rPr>
          <w:rFonts w:eastAsia="Arial"/>
          <w:lang w:val="fr-CA"/>
        </w:rPr>
        <w:t>FIN DE LA SECTION</w:t>
      </w:r>
    </w:p>
    <w:sectPr w:rsidR="00EE1DF9">
      <w:footerReference w:type="default" r:id="rId22"/>
      <w:footnotePr>
        <w:numRestart w:val="eachSect"/>
      </w:footnotePr>
      <w:endnotePr>
        <w:numFmt w:val="decimal"/>
      </w:endnotePr>
      <w:pgSz w:w="12240" w:h="15840"/>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Tremco" w:date="2014-12-26T11:31:00Z" w:initials="T">
    <w:p w14:paraId="221576B0" w14:textId="77777777" w:rsidR="00EE1DF9" w:rsidRDefault="0044630F">
      <w:pPr>
        <w:pStyle w:val="CommentText"/>
        <w:rPr>
          <w:lang w:val="en-US"/>
        </w:rPr>
      </w:pPr>
      <w:r>
        <w:rPr>
          <w:rStyle w:val="CommentReference"/>
        </w:rPr>
        <w:annotationRef/>
      </w:r>
      <w:r>
        <w:rPr>
          <w:lang w:val="en-US"/>
        </w:rPr>
        <w:t xml:space="preserve">This is not </w:t>
      </w:r>
      <w:r>
        <w:rPr>
          <w:lang w:val="en-US"/>
        </w:rPr>
        <w:t>practical.  I think the white is the only one above 78.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1576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1576B0" w16cid:durableId="23CF81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806A7" w14:textId="77777777" w:rsidR="0044630F" w:rsidRDefault="0044630F">
      <w:r>
        <w:separator/>
      </w:r>
    </w:p>
  </w:endnote>
  <w:endnote w:type="continuationSeparator" w:id="0">
    <w:p w14:paraId="35C3166A" w14:textId="77777777" w:rsidR="0044630F" w:rsidRDefault="0044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44A7" w14:textId="77777777" w:rsidR="00EE1DF9" w:rsidRDefault="0044630F">
    <w:pPr>
      <w:tabs>
        <w:tab w:val="center" w:pos="4320"/>
        <w:tab w:val="right" w:pos="9450"/>
      </w:tabs>
    </w:pPr>
    <w:r>
      <w:t>Tremco, Inc.</w:t>
    </w:r>
    <w:r>
      <w:tab/>
      <w:t>07 18 00</w:t>
    </w:r>
    <w:r>
      <w:tab/>
      <w:t xml:space="preserve"> TRAFFIC COATINGS, VEHICULAR TRAFFIC</w:t>
    </w:r>
  </w:p>
  <w:p w14:paraId="67E88020" w14:textId="77777777" w:rsidR="00EE1DF9" w:rsidRDefault="0044630F">
    <w:pPr>
      <w:tabs>
        <w:tab w:val="center" w:pos="4320"/>
        <w:tab w:val="right" w:pos="9270"/>
      </w:tabs>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FF26C" w14:textId="77777777" w:rsidR="0044630F" w:rsidRDefault="0044630F">
      <w:r>
        <w:separator/>
      </w:r>
    </w:p>
  </w:footnote>
  <w:footnote w:type="continuationSeparator" w:id="0">
    <w:p w14:paraId="278BCB12" w14:textId="77777777" w:rsidR="0044630F" w:rsidRDefault="00446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68A7CD6"/>
    <w:multiLevelType w:val="hybridMultilevel"/>
    <w:tmpl w:val="07767EE0"/>
    <w:lvl w:ilvl="0" w:tplc="80AA80F6">
      <w:numFmt w:val="none"/>
      <w:lvlText w:val=""/>
      <w:lvlJc w:val="left"/>
      <w:pPr>
        <w:tabs>
          <w:tab w:val="num" w:pos="360"/>
        </w:tabs>
      </w:pPr>
    </w:lvl>
    <w:lvl w:ilvl="1" w:tplc="E6DAD362">
      <w:start w:val="1"/>
      <w:numFmt w:val="lowerLetter"/>
      <w:lvlText w:val="%2."/>
      <w:lvlJc w:val="left"/>
      <w:pPr>
        <w:ind w:left="1440" w:hanging="360"/>
      </w:pPr>
    </w:lvl>
    <w:lvl w:ilvl="2" w:tplc="DE46A0A2">
      <w:start w:val="1"/>
      <w:numFmt w:val="lowerRoman"/>
      <w:lvlText w:val="%3."/>
      <w:lvlJc w:val="right"/>
      <w:pPr>
        <w:ind w:left="2160" w:hanging="180"/>
      </w:pPr>
    </w:lvl>
    <w:lvl w:ilvl="3" w:tplc="E1B4588A">
      <w:start w:val="1"/>
      <w:numFmt w:val="decimal"/>
      <w:lvlText w:val="%4."/>
      <w:lvlJc w:val="left"/>
      <w:pPr>
        <w:ind w:left="2880" w:hanging="360"/>
      </w:pPr>
    </w:lvl>
    <w:lvl w:ilvl="4" w:tplc="23141CAA">
      <w:start w:val="1"/>
      <w:numFmt w:val="lowerLetter"/>
      <w:lvlText w:val="%5."/>
      <w:lvlJc w:val="left"/>
      <w:pPr>
        <w:ind w:left="3600" w:hanging="360"/>
      </w:pPr>
    </w:lvl>
    <w:lvl w:ilvl="5" w:tplc="EB420246">
      <w:start w:val="1"/>
      <w:numFmt w:val="lowerRoman"/>
      <w:lvlText w:val="%6."/>
      <w:lvlJc w:val="right"/>
      <w:pPr>
        <w:ind w:left="4320" w:hanging="180"/>
      </w:pPr>
    </w:lvl>
    <w:lvl w:ilvl="6" w:tplc="87986434">
      <w:start w:val="1"/>
      <w:numFmt w:val="decimal"/>
      <w:lvlText w:val="%7."/>
      <w:lvlJc w:val="left"/>
      <w:pPr>
        <w:ind w:left="5040" w:hanging="360"/>
      </w:pPr>
    </w:lvl>
    <w:lvl w:ilvl="7" w:tplc="AB5457BE">
      <w:start w:val="1"/>
      <w:numFmt w:val="lowerLetter"/>
      <w:lvlText w:val="%8."/>
      <w:lvlJc w:val="left"/>
      <w:pPr>
        <w:ind w:left="5760" w:hanging="360"/>
      </w:pPr>
    </w:lvl>
    <w:lvl w:ilvl="8" w:tplc="B040F9F8">
      <w:start w:val="1"/>
      <w:numFmt w:val="lowerRoman"/>
      <w:lvlText w:val="%9."/>
      <w:lvlJc w:val="right"/>
      <w:pPr>
        <w:ind w:left="6480" w:hanging="180"/>
      </w:pPr>
    </w:lvl>
  </w:abstractNum>
  <w:abstractNum w:abstractNumId="2" w15:restartNumberingAfterBreak="0">
    <w:nsid w:val="238B3893"/>
    <w:multiLevelType w:val="hybridMultilevel"/>
    <w:tmpl w:val="16E0E098"/>
    <w:lvl w:ilvl="0" w:tplc="06706472">
      <w:numFmt w:val="none"/>
      <w:lvlText w:val=""/>
      <w:lvlJc w:val="left"/>
      <w:pPr>
        <w:tabs>
          <w:tab w:val="num" w:pos="360"/>
        </w:tabs>
      </w:pPr>
    </w:lvl>
    <w:lvl w:ilvl="1" w:tplc="F68AD51A">
      <w:start w:val="1"/>
      <w:numFmt w:val="lowerLetter"/>
      <w:lvlText w:val="%2."/>
      <w:lvlJc w:val="left"/>
      <w:pPr>
        <w:ind w:left="1440" w:hanging="360"/>
      </w:pPr>
    </w:lvl>
    <w:lvl w:ilvl="2" w:tplc="E8DC0154">
      <w:start w:val="1"/>
      <w:numFmt w:val="lowerRoman"/>
      <w:lvlText w:val="%3."/>
      <w:lvlJc w:val="right"/>
      <w:pPr>
        <w:ind w:left="2160" w:hanging="180"/>
      </w:pPr>
    </w:lvl>
    <w:lvl w:ilvl="3" w:tplc="6574A2FC">
      <w:start w:val="1"/>
      <w:numFmt w:val="decimal"/>
      <w:lvlText w:val="%4."/>
      <w:lvlJc w:val="left"/>
      <w:pPr>
        <w:ind w:left="2880" w:hanging="360"/>
      </w:pPr>
    </w:lvl>
    <w:lvl w:ilvl="4" w:tplc="2F647BF4">
      <w:start w:val="1"/>
      <w:numFmt w:val="lowerLetter"/>
      <w:lvlText w:val="%5."/>
      <w:lvlJc w:val="left"/>
      <w:pPr>
        <w:ind w:left="3600" w:hanging="360"/>
      </w:pPr>
    </w:lvl>
    <w:lvl w:ilvl="5" w:tplc="C90C4BEE">
      <w:start w:val="1"/>
      <w:numFmt w:val="lowerRoman"/>
      <w:lvlText w:val="%6."/>
      <w:lvlJc w:val="right"/>
      <w:pPr>
        <w:ind w:left="4320" w:hanging="180"/>
      </w:pPr>
    </w:lvl>
    <w:lvl w:ilvl="6" w:tplc="5BBE1EDE">
      <w:start w:val="1"/>
      <w:numFmt w:val="decimal"/>
      <w:lvlText w:val="%7."/>
      <w:lvlJc w:val="left"/>
      <w:pPr>
        <w:ind w:left="5040" w:hanging="360"/>
      </w:pPr>
    </w:lvl>
    <w:lvl w:ilvl="7" w:tplc="A18AD6A0">
      <w:start w:val="1"/>
      <w:numFmt w:val="lowerLetter"/>
      <w:lvlText w:val="%8."/>
      <w:lvlJc w:val="left"/>
      <w:pPr>
        <w:ind w:left="5760" w:hanging="360"/>
      </w:pPr>
    </w:lvl>
    <w:lvl w:ilvl="8" w:tplc="77C4109C">
      <w:start w:val="1"/>
      <w:numFmt w:val="lowerRoman"/>
      <w:lvlText w:val="%9."/>
      <w:lvlJc w:val="right"/>
      <w:pPr>
        <w:ind w:left="6480" w:hanging="180"/>
      </w:pPr>
    </w:lvl>
  </w:abstractNum>
  <w:abstractNum w:abstractNumId="3" w15:restartNumberingAfterBreak="0">
    <w:nsid w:val="2D4C033D"/>
    <w:multiLevelType w:val="hybridMultilevel"/>
    <w:tmpl w:val="7548B774"/>
    <w:lvl w:ilvl="0" w:tplc="156C4F3E">
      <w:numFmt w:val="none"/>
      <w:lvlText w:val=""/>
      <w:lvlJc w:val="left"/>
      <w:pPr>
        <w:tabs>
          <w:tab w:val="num" w:pos="360"/>
        </w:tabs>
      </w:pPr>
    </w:lvl>
    <w:lvl w:ilvl="1" w:tplc="670211C8">
      <w:start w:val="1"/>
      <w:numFmt w:val="lowerLetter"/>
      <w:lvlText w:val="%2."/>
      <w:lvlJc w:val="left"/>
      <w:pPr>
        <w:ind w:left="1440" w:hanging="360"/>
      </w:pPr>
    </w:lvl>
    <w:lvl w:ilvl="2" w:tplc="868C480C">
      <w:start w:val="1"/>
      <w:numFmt w:val="lowerRoman"/>
      <w:lvlText w:val="%3."/>
      <w:lvlJc w:val="right"/>
      <w:pPr>
        <w:ind w:left="2160" w:hanging="180"/>
      </w:pPr>
    </w:lvl>
    <w:lvl w:ilvl="3" w:tplc="451E1E3C">
      <w:start w:val="1"/>
      <w:numFmt w:val="decimal"/>
      <w:lvlText w:val="%4."/>
      <w:lvlJc w:val="left"/>
      <w:pPr>
        <w:ind w:left="2880" w:hanging="360"/>
      </w:pPr>
    </w:lvl>
    <w:lvl w:ilvl="4" w:tplc="4C4C4FA4">
      <w:start w:val="1"/>
      <w:numFmt w:val="lowerLetter"/>
      <w:lvlText w:val="%5."/>
      <w:lvlJc w:val="left"/>
      <w:pPr>
        <w:ind w:left="3600" w:hanging="360"/>
      </w:pPr>
    </w:lvl>
    <w:lvl w:ilvl="5" w:tplc="A3B4BF36">
      <w:start w:val="1"/>
      <w:numFmt w:val="lowerRoman"/>
      <w:lvlText w:val="%6."/>
      <w:lvlJc w:val="right"/>
      <w:pPr>
        <w:ind w:left="4320" w:hanging="180"/>
      </w:pPr>
    </w:lvl>
    <w:lvl w:ilvl="6" w:tplc="F568396C">
      <w:start w:val="1"/>
      <w:numFmt w:val="decimal"/>
      <w:lvlText w:val="%7."/>
      <w:lvlJc w:val="left"/>
      <w:pPr>
        <w:ind w:left="5040" w:hanging="360"/>
      </w:pPr>
    </w:lvl>
    <w:lvl w:ilvl="7" w:tplc="4802EAB6">
      <w:start w:val="1"/>
      <w:numFmt w:val="lowerLetter"/>
      <w:lvlText w:val="%8."/>
      <w:lvlJc w:val="left"/>
      <w:pPr>
        <w:ind w:left="5760" w:hanging="360"/>
      </w:pPr>
    </w:lvl>
    <w:lvl w:ilvl="8" w:tplc="CB7A8CE8">
      <w:start w:val="1"/>
      <w:numFmt w:val="lowerRoman"/>
      <w:lvlText w:val="%9."/>
      <w:lvlJc w:val="right"/>
      <w:pPr>
        <w:ind w:left="6480" w:hanging="180"/>
      </w:pPr>
    </w:lvl>
  </w:abstractNum>
  <w:abstractNum w:abstractNumId="4" w15:restartNumberingAfterBreak="0">
    <w:nsid w:val="330633CF"/>
    <w:multiLevelType w:val="hybridMultilevel"/>
    <w:tmpl w:val="B63E2110"/>
    <w:lvl w:ilvl="0" w:tplc="4CB8C64E">
      <w:start w:val="1"/>
      <w:numFmt w:val="bullet"/>
      <w:lvlText w:val=""/>
      <w:lvlJc w:val="left"/>
      <w:pPr>
        <w:tabs>
          <w:tab w:val="num" w:pos="288"/>
        </w:tabs>
        <w:ind w:left="288" w:hanging="288"/>
      </w:pPr>
      <w:rPr>
        <w:rFonts w:ascii="Symbol" w:hAnsi="Symbol" w:hint="default"/>
        <w:color w:val="666699"/>
        <w:sz w:val="24"/>
        <w:szCs w:val="24"/>
      </w:rPr>
    </w:lvl>
    <w:lvl w:ilvl="1" w:tplc="49A46B44" w:tentative="1">
      <w:start w:val="1"/>
      <w:numFmt w:val="bullet"/>
      <w:lvlText w:val="o"/>
      <w:lvlJc w:val="left"/>
      <w:pPr>
        <w:tabs>
          <w:tab w:val="num" w:pos="1440"/>
        </w:tabs>
        <w:ind w:left="1440" w:hanging="360"/>
      </w:pPr>
      <w:rPr>
        <w:rFonts w:ascii="Courier New" w:hAnsi="Courier New" w:cs="Courier New" w:hint="default"/>
      </w:rPr>
    </w:lvl>
    <w:lvl w:ilvl="2" w:tplc="8FAE8BA4" w:tentative="1">
      <w:start w:val="1"/>
      <w:numFmt w:val="bullet"/>
      <w:lvlText w:val=""/>
      <w:lvlJc w:val="left"/>
      <w:pPr>
        <w:tabs>
          <w:tab w:val="num" w:pos="2160"/>
        </w:tabs>
        <w:ind w:left="2160" w:hanging="360"/>
      </w:pPr>
      <w:rPr>
        <w:rFonts w:ascii="Wingdings" w:hAnsi="Wingdings" w:hint="default"/>
      </w:rPr>
    </w:lvl>
    <w:lvl w:ilvl="3" w:tplc="90E8BC0A" w:tentative="1">
      <w:start w:val="1"/>
      <w:numFmt w:val="bullet"/>
      <w:lvlText w:val=""/>
      <w:lvlJc w:val="left"/>
      <w:pPr>
        <w:tabs>
          <w:tab w:val="num" w:pos="2880"/>
        </w:tabs>
        <w:ind w:left="2880" w:hanging="360"/>
      </w:pPr>
      <w:rPr>
        <w:rFonts w:ascii="Symbol" w:hAnsi="Symbol" w:hint="default"/>
      </w:rPr>
    </w:lvl>
    <w:lvl w:ilvl="4" w:tplc="56741D5E" w:tentative="1">
      <w:start w:val="1"/>
      <w:numFmt w:val="bullet"/>
      <w:lvlText w:val="o"/>
      <w:lvlJc w:val="left"/>
      <w:pPr>
        <w:tabs>
          <w:tab w:val="num" w:pos="3600"/>
        </w:tabs>
        <w:ind w:left="3600" w:hanging="360"/>
      </w:pPr>
      <w:rPr>
        <w:rFonts w:ascii="Courier New" w:hAnsi="Courier New" w:cs="Courier New" w:hint="default"/>
      </w:rPr>
    </w:lvl>
    <w:lvl w:ilvl="5" w:tplc="1DB866C0" w:tentative="1">
      <w:start w:val="1"/>
      <w:numFmt w:val="bullet"/>
      <w:lvlText w:val=""/>
      <w:lvlJc w:val="left"/>
      <w:pPr>
        <w:tabs>
          <w:tab w:val="num" w:pos="4320"/>
        </w:tabs>
        <w:ind w:left="4320" w:hanging="360"/>
      </w:pPr>
      <w:rPr>
        <w:rFonts w:ascii="Wingdings" w:hAnsi="Wingdings" w:hint="default"/>
      </w:rPr>
    </w:lvl>
    <w:lvl w:ilvl="6" w:tplc="64EE6D36" w:tentative="1">
      <w:start w:val="1"/>
      <w:numFmt w:val="bullet"/>
      <w:lvlText w:val=""/>
      <w:lvlJc w:val="left"/>
      <w:pPr>
        <w:tabs>
          <w:tab w:val="num" w:pos="5040"/>
        </w:tabs>
        <w:ind w:left="5040" w:hanging="360"/>
      </w:pPr>
      <w:rPr>
        <w:rFonts w:ascii="Symbol" w:hAnsi="Symbol" w:hint="default"/>
      </w:rPr>
    </w:lvl>
    <w:lvl w:ilvl="7" w:tplc="24DEA3AC" w:tentative="1">
      <w:start w:val="1"/>
      <w:numFmt w:val="bullet"/>
      <w:lvlText w:val="o"/>
      <w:lvlJc w:val="left"/>
      <w:pPr>
        <w:tabs>
          <w:tab w:val="num" w:pos="5760"/>
        </w:tabs>
        <w:ind w:left="5760" w:hanging="360"/>
      </w:pPr>
      <w:rPr>
        <w:rFonts w:ascii="Courier New" w:hAnsi="Courier New" w:cs="Courier New" w:hint="default"/>
      </w:rPr>
    </w:lvl>
    <w:lvl w:ilvl="8" w:tplc="6B286B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01"/>
    <w:multiLevelType w:val="hybridMultilevel"/>
    <w:tmpl w:val="F0602F28"/>
    <w:lvl w:ilvl="0" w:tplc="3E7807A6">
      <w:start w:val="1"/>
      <w:numFmt w:val="bullet"/>
      <w:lvlText w:val=""/>
      <w:lvlJc w:val="left"/>
      <w:pPr>
        <w:tabs>
          <w:tab w:val="num" w:pos="288"/>
        </w:tabs>
        <w:ind w:left="288" w:hanging="288"/>
      </w:pPr>
      <w:rPr>
        <w:rFonts w:ascii="Symbol" w:hAnsi="Symbol" w:hint="default"/>
        <w:color w:val="666699"/>
        <w:sz w:val="24"/>
        <w:szCs w:val="24"/>
      </w:rPr>
    </w:lvl>
    <w:lvl w:ilvl="1" w:tplc="B24CC20A" w:tentative="1">
      <w:start w:val="1"/>
      <w:numFmt w:val="bullet"/>
      <w:lvlText w:val="o"/>
      <w:lvlJc w:val="left"/>
      <w:pPr>
        <w:tabs>
          <w:tab w:val="num" w:pos="1440"/>
        </w:tabs>
        <w:ind w:left="1440" w:hanging="360"/>
      </w:pPr>
      <w:rPr>
        <w:rFonts w:ascii="Courier New" w:hAnsi="Courier New" w:cs="Courier New" w:hint="default"/>
      </w:rPr>
    </w:lvl>
    <w:lvl w:ilvl="2" w:tplc="7FD48EA4" w:tentative="1">
      <w:start w:val="1"/>
      <w:numFmt w:val="bullet"/>
      <w:lvlText w:val=""/>
      <w:lvlJc w:val="left"/>
      <w:pPr>
        <w:tabs>
          <w:tab w:val="num" w:pos="2160"/>
        </w:tabs>
        <w:ind w:left="2160" w:hanging="360"/>
      </w:pPr>
      <w:rPr>
        <w:rFonts w:ascii="Wingdings" w:hAnsi="Wingdings" w:hint="default"/>
      </w:rPr>
    </w:lvl>
    <w:lvl w:ilvl="3" w:tplc="9D3EFA30" w:tentative="1">
      <w:start w:val="1"/>
      <w:numFmt w:val="bullet"/>
      <w:lvlText w:val=""/>
      <w:lvlJc w:val="left"/>
      <w:pPr>
        <w:tabs>
          <w:tab w:val="num" w:pos="2880"/>
        </w:tabs>
        <w:ind w:left="2880" w:hanging="360"/>
      </w:pPr>
      <w:rPr>
        <w:rFonts w:ascii="Symbol" w:hAnsi="Symbol" w:hint="default"/>
      </w:rPr>
    </w:lvl>
    <w:lvl w:ilvl="4" w:tplc="B53E9CE0" w:tentative="1">
      <w:start w:val="1"/>
      <w:numFmt w:val="bullet"/>
      <w:lvlText w:val="o"/>
      <w:lvlJc w:val="left"/>
      <w:pPr>
        <w:tabs>
          <w:tab w:val="num" w:pos="3600"/>
        </w:tabs>
        <w:ind w:left="3600" w:hanging="360"/>
      </w:pPr>
      <w:rPr>
        <w:rFonts w:ascii="Courier New" w:hAnsi="Courier New" w:cs="Courier New" w:hint="default"/>
      </w:rPr>
    </w:lvl>
    <w:lvl w:ilvl="5" w:tplc="D5585014" w:tentative="1">
      <w:start w:val="1"/>
      <w:numFmt w:val="bullet"/>
      <w:lvlText w:val=""/>
      <w:lvlJc w:val="left"/>
      <w:pPr>
        <w:tabs>
          <w:tab w:val="num" w:pos="4320"/>
        </w:tabs>
        <w:ind w:left="4320" w:hanging="360"/>
      </w:pPr>
      <w:rPr>
        <w:rFonts w:ascii="Wingdings" w:hAnsi="Wingdings" w:hint="default"/>
      </w:rPr>
    </w:lvl>
    <w:lvl w:ilvl="6" w:tplc="745AFF24" w:tentative="1">
      <w:start w:val="1"/>
      <w:numFmt w:val="bullet"/>
      <w:lvlText w:val=""/>
      <w:lvlJc w:val="left"/>
      <w:pPr>
        <w:tabs>
          <w:tab w:val="num" w:pos="5040"/>
        </w:tabs>
        <w:ind w:left="5040" w:hanging="360"/>
      </w:pPr>
      <w:rPr>
        <w:rFonts w:ascii="Symbol" w:hAnsi="Symbol" w:hint="default"/>
      </w:rPr>
    </w:lvl>
    <w:lvl w:ilvl="7" w:tplc="D356441C" w:tentative="1">
      <w:start w:val="1"/>
      <w:numFmt w:val="bullet"/>
      <w:lvlText w:val="o"/>
      <w:lvlJc w:val="left"/>
      <w:pPr>
        <w:tabs>
          <w:tab w:val="num" w:pos="5760"/>
        </w:tabs>
        <w:ind w:left="5760" w:hanging="360"/>
      </w:pPr>
      <w:rPr>
        <w:rFonts w:ascii="Courier New" w:hAnsi="Courier New" w:cs="Courier New" w:hint="default"/>
      </w:rPr>
    </w:lvl>
    <w:lvl w:ilvl="8" w:tplc="6E7C17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31F20"/>
    <w:multiLevelType w:val="hybridMultilevel"/>
    <w:tmpl w:val="2416D2E2"/>
    <w:lvl w:ilvl="0" w:tplc="65C6D3C8">
      <w:numFmt w:val="none"/>
      <w:lvlText w:val=""/>
      <w:lvlJc w:val="left"/>
      <w:pPr>
        <w:tabs>
          <w:tab w:val="num" w:pos="360"/>
        </w:tabs>
      </w:pPr>
    </w:lvl>
    <w:lvl w:ilvl="1" w:tplc="278473CE">
      <w:start w:val="1"/>
      <w:numFmt w:val="lowerLetter"/>
      <w:lvlText w:val="%2."/>
      <w:lvlJc w:val="left"/>
      <w:pPr>
        <w:ind w:left="1440" w:hanging="360"/>
      </w:pPr>
    </w:lvl>
    <w:lvl w:ilvl="2" w:tplc="3D00B3F4">
      <w:start w:val="1"/>
      <w:numFmt w:val="lowerRoman"/>
      <w:lvlText w:val="%3."/>
      <w:lvlJc w:val="right"/>
      <w:pPr>
        <w:ind w:left="2160" w:hanging="180"/>
      </w:pPr>
    </w:lvl>
    <w:lvl w:ilvl="3" w:tplc="45AAF12E">
      <w:start w:val="1"/>
      <w:numFmt w:val="decimal"/>
      <w:lvlText w:val="%4."/>
      <w:lvlJc w:val="left"/>
      <w:pPr>
        <w:ind w:left="2880" w:hanging="360"/>
      </w:pPr>
    </w:lvl>
    <w:lvl w:ilvl="4" w:tplc="377AA772">
      <w:start w:val="1"/>
      <w:numFmt w:val="lowerLetter"/>
      <w:lvlText w:val="%5."/>
      <w:lvlJc w:val="left"/>
      <w:pPr>
        <w:ind w:left="3600" w:hanging="360"/>
      </w:pPr>
    </w:lvl>
    <w:lvl w:ilvl="5" w:tplc="6004CE52">
      <w:start w:val="1"/>
      <w:numFmt w:val="lowerRoman"/>
      <w:lvlText w:val="%6."/>
      <w:lvlJc w:val="right"/>
      <w:pPr>
        <w:ind w:left="4320" w:hanging="180"/>
      </w:pPr>
    </w:lvl>
    <w:lvl w:ilvl="6" w:tplc="D8AE30A2">
      <w:start w:val="1"/>
      <w:numFmt w:val="decimal"/>
      <w:lvlText w:val="%7."/>
      <w:lvlJc w:val="left"/>
      <w:pPr>
        <w:ind w:left="5040" w:hanging="360"/>
      </w:pPr>
    </w:lvl>
    <w:lvl w:ilvl="7" w:tplc="1AAED83E">
      <w:start w:val="1"/>
      <w:numFmt w:val="lowerLetter"/>
      <w:lvlText w:val="%8."/>
      <w:lvlJc w:val="left"/>
      <w:pPr>
        <w:ind w:left="5760" w:hanging="360"/>
      </w:pPr>
    </w:lvl>
    <w:lvl w:ilvl="8" w:tplc="7BEA3CFA">
      <w:start w:val="1"/>
      <w:numFmt w:val="lowerRoman"/>
      <w:lvlText w:val="%9."/>
      <w:lvlJc w:val="right"/>
      <w:pPr>
        <w:ind w:left="6480" w:hanging="180"/>
      </w:pPr>
    </w:lvl>
  </w:abstractNum>
  <w:abstractNum w:abstractNumId="7" w15:restartNumberingAfterBreak="0">
    <w:nsid w:val="42515061"/>
    <w:multiLevelType w:val="hybridMultilevel"/>
    <w:tmpl w:val="D6B4322A"/>
    <w:lvl w:ilvl="0" w:tplc="F7041196">
      <w:start w:val="1"/>
      <w:numFmt w:val="bullet"/>
      <w:lvlText w:val=""/>
      <w:lvlJc w:val="left"/>
      <w:pPr>
        <w:tabs>
          <w:tab w:val="num" w:pos="720"/>
        </w:tabs>
        <w:ind w:left="720" w:hanging="360"/>
      </w:pPr>
      <w:rPr>
        <w:rFonts w:ascii="Symbol" w:hAnsi="Symbol" w:hint="default"/>
      </w:rPr>
    </w:lvl>
    <w:lvl w:ilvl="1" w:tplc="F30E1E88" w:tentative="1">
      <w:start w:val="1"/>
      <w:numFmt w:val="bullet"/>
      <w:lvlText w:val="o"/>
      <w:lvlJc w:val="left"/>
      <w:pPr>
        <w:tabs>
          <w:tab w:val="num" w:pos="1440"/>
        </w:tabs>
        <w:ind w:left="1440" w:hanging="360"/>
      </w:pPr>
      <w:rPr>
        <w:rFonts w:ascii="Courier New" w:hAnsi="Courier New" w:hint="default"/>
      </w:rPr>
    </w:lvl>
    <w:lvl w:ilvl="2" w:tplc="A2D44E2C" w:tentative="1">
      <w:start w:val="1"/>
      <w:numFmt w:val="bullet"/>
      <w:lvlText w:val=""/>
      <w:lvlJc w:val="left"/>
      <w:pPr>
        <w:tabs>
          <w:tab w:val="num" w:pos="2160"/>
        </w:tabs>
        <w:ind w:left="2160" w:hanging="360"/>
      </w:pPr>
      <w:rPr>
        <w:rFonts w:ascii="Wingdings" w:hAnsi="Wingdings" w:hint="default"/>
      </w:rPr>
    </w:lvl>
    <w:lvl w:ilvl="3" w:tplc="623AAACA" w:tentative="1">
      <w:start w:val="1"/>
      <w:numFmt w:val="bullet"/>
      <w:lvlText w:val=""/>
      <w:lvlJc w:val="left"/>
      <w:pPr>
        <w:tabs>
          <w:tab w:val="num" w:pos="2880"/>
        </w:tabs>
        <w:ind w:left="2880" w:hanging="360"/>
      </w:pPr>
      <w:rPr>
        <w:rFonts w:ascii="Symbol" w:hAnsi="Symbol" w:hint="default"/>
      </w:rPr>
    </w:lvl>
    <w:lvl w:ilvl="4" w:tplc="7F72C4F6" w:tentative="1">
      <w:start w:val="1"/>
      <w:numFmt w:val="bullet"/>
      <w:lvlText w:val="o"/>
      <w:lvlJc w:val="left"/>
      <w:pPr>
        <w:tabs>
          <w:tab w:val="num" w:pos="3600"/>
        </w:tabs>
        <w:ind w:left="3600" w:hanging="360"/>
      </w:pPr>
      <w:rPr>
        <w:rFonts w:ascii="Courier New" w:hAnsi="Courier New" w:hint="default"/>
      </w:rPr>
    </w:lvl>
    <w:lvl w:ilvl="5" w:tplc="C16CC404" w:tentative="1">
      <w:start w:val="1"/>
      <w:numFmt w:val="bullet"/>
      <w:lvlText w:val=""/>
      <w:lvlJc w:val="left"/>
      <w:pPr>
        <w:tabs>
          <w:tab w:val="num" w:pos="4320"/>
        </w:tabs>
        <w:ind w:left="4320" w:hanging="360"/>
      </w:pPr>
      <w:rPr>
        <w:rFonts w:ascii="Wingdings" w:hAnsi="Wingdings" w:hint="default"/>
      </w:rPr>
    </w:lvl>
    <w:lvl w:ilvl="6" w:tplc="7E2CF6CC" w:tentative="1">
      <w:start w:val="1"/>
      <w:numFmt w:val="bullet"/>
      <w:lvlText w:val=""/>
      <w:lvlJc w:val="left"/>
      <w:pPr>
        <w:tabs>
          <w:tab w:val="num" w:pos="5040"/>
        </w:tabs>
        <w:ind w:left="5040" w:hanging="360"/>
      </w:pPr>
      <w:rPr>
        <w:rFonts w:ascii="Symbol" w:hAnsi="Symbol" w:hint="default"/>
      </w:rPr>
    </w:lvl>
    <w:lvl w:ilvl="7" w:tplc="B7A49294" w:tentative="1">
      <w:start w:val="1"/>
      <w:numFmt w:val="bullet"/>
      <w:lvlText w:val="o"/>
      <w:lvlJc w:val="left"/>
      <w:pPr>
        <w:tabs>
          <w:tab w:val="num" w:pos="5760"/>
        </w:tabs>
        <w:ind w:left="5760" w:hanging="360"/>
      </w:pPr>
      <w:rPr>
        <w:rFonts w:ascii="Courier New" w:hAnsi="Courier New" w:hint="default"/>
      </w:rPr>
    </w:lvl>
    <w:lvl w:ilvl="8" w:tplc="CA883C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92078"/>
    <w:multiLevelType w:val="hybridMultilevel"/>
    <w:tmpl w:val="927C38E8"/>
    <w:lvl w:ilvl="0" w:tplc="029A0B92">
      <w:start w:val="1"/>
      <w:numFmt w:val="bullet"/>
      <w:lvlText w:val=""/>
      <w:lvlJc w:val="left"/>
      <w:pPr>
        <w:tabs>
          <w:tab w:val="num" w:pos="720"/>
        </w:tabs>
        <w:ind w:left="720" w:hanging="360"/>
      </w:pPr>
      <w:rPr>
        <w:rFonts w:ascii="Symbol" w:hAnsi="Symbol" w:hint="default"/>
      </w:rPr>
    </w:lvl>
    <w:lvl w:ilvl="1" w:tplc="3C80863E" w:tentative="1">
      <w:start w:val="1"/>
      <w:numFmt w:val="bullet"/>
      <w:lvlText w:val="o"/>
      <w:lvlJc w:val="left"/>
      <w:pPr>
        <w:tabs>
          <w:tab w:val="num" w:pos="1440"/>
        </w:tabs>
        <w:ind w:left="1440" w:hanging="360"/>
      </w:pPr>
      <w:rPr>
        <w:rFonts w:ascii="Courier New" w:hAnsi="Courier New" w:hint="default"/>
      </w:rPr>
    </w:lvl>
    <w:lvl w:ilvl="2" w:tplc="8C26395C" w:tentative="1">
      <w:start w:val="1"/>
      <w:numFmt w:val="bullet"/>
      <w:lvlText w:val=""/>
      <w:lvlJc w:val="left"/>
      <w:pPr>
        <w:tabs>
          <w:tab w:val="num" w:pos="2160"/>
        </w:tabs>
        <w:ind w:left="2160" w:hanging="360"/>
      </w:pPr>
      <w:rPr>
        <w:rFonts w:ascii="Wingdings" w:hAnsi="Wingdings" w:hint="default"/>
      </w:rPr>
    </w:lvl>
    <w:lvl w:ilvl="3" w:tplc="EF705BCA" w:tentative="1">
      <w:start w:val="1"/>
      <w:numFmt w:val="bullet"/>
      <w:lvlText w:val=""/>
      <w:lvlJc w:val="left"/>
      <w:pPr>
        <w:tabs>
          <w:tab w:val="num" w:pos="2880"/>
        </w:tabs>
        <w:ind w:left="2880" w:hanging="360"/>
      </w:pPr>
      <w:rPr>
        <w:rFonts w:ascii="Symbol" w:hAnsi="Symbol" w:hint="default"/>
      </w:rPr>
    </w:lvl>
    <w:lvl w:ilvl="4" w:tplc="D952D9D6" w:tentative="1">
      <w:start w:val="1"/>
      <w:numFmt w:val="bullet"/>
      <w:lvlText w:val="o"/>
      <w:lvlJc w:val="left"/>
      <w:pPr>
        <w:tabs>
          <w:tab w:val="num" w:pos="3600"/>
        </w:tabs>
        <w:ind w:left="3600" w:hanging="360"/>
      </w:pPr>
      <w:rPr>
        <w:rFonts w:ascii="Courier New" w:hAnsi="Courier New" w:hint="default"/>
      </w:rPr>
    </w:lvl>
    <w:lvl w:ilvl="5" w:tplc="97D8CC54" w:tentative="1">
      <w:start w:val="1"/>
      <w:numFmt w:val="bullet"/>
      <w:lvlText w:val=""/>
      <w:lvlJc w:val="left"/>
      <w:pPr>
        <w:tabs>
          <w:tab w:val="num" w:pos="4320"/>
        </w:tabs>
        <w:ind w:left="4320" w:hanging="360"/>
      </w:pPr>
      <w:rPr>
        <w:rFonts w:ascii="Wingdings" w:hAnsi="Wingdings" w:hint="default"/>
      </w:rPr>
    </w:lvl>
    <w:lvl w:ilvl="6" w:tplc="31FA8AD0" w:tentative="1">
      <w:start w:val="1"/>
      <w:numFmt w:val="bullet"/>
      <w:lvlText w:val=""/>
      <w:lvlJc w:val="left"/>
      <w:pPr>
        <w:tabs>
          <w:tab w:val="num" w:pos="5040"/>
        </w:tabs>
        <w:ind w:left="5040" w:hanging="360"/>
      </w:pPr>
      <w:rPr>
        <w:rFonts w:ascii="Symbol" w:hAnsi="Symbol" w:hint="default"/>
      </w:rPr>
    </w:lvl>
    <w:lvl w:ilvl="7" w:tplc="BE1A9080" w:tentative="1">
      <w:start w:val="1"/>
      <w:numFmt w:val="bullet"/>
      <w:lvlText w:val="o"/>
      <w:lvlJc w:val="left"/>
      <w:pPr>
        <w:tabs>
          <w:tab w:val="num" w:pos="5760"/>
        </w:tabs>
        <w:ind w:left="5760" w:hanging="360"/>
      </w:pPr>
      <w:rPr>
        <w:rFonts w:ascii="Courier New" w:hAnsi="Courier New" w:hint="default"/>
      </w:rPr>
    </w:lvl>
    <w:lvl w:ilvl="8" w:tplc="04EAF2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A2817"/>
    <w:multiLevelType w:val="hybridMultilevel"/>
    <w:tmpl w:val="7848D924"/>
    <w:lvl w:ilvl="0" w:tplc="666A57C6">
      <w:start w:val="1"/>
      <w:numFmt w:val="bullet"/>
      <w:lvlText w:val=""/>
      <w:lvlJc w:val="left"/>
      <w:pPr>
        <w:tabs>
          <w:tab w:val="num" w:pos="288"/>
        </w:tabs>
        <w:ind w:left="288" w:hanging="288"/>
      </w:pPr>
      <w:rPr>
        <w:rFonts w:ascii="Symbol" w:hAnsi="Symbol" w:hint="default"/>
        <w:color w:val="666699"/>
        <w:sz w:val="24"/>
        <w:szCs w:val="24"/>
      </w:rPr>
    </w:lvl>
    <w:lvl w:ilvl="1" w:tplc="BE06A5A2" w:tentative="1">
      <w:start w:val="1"/>
      <w:numFmt w:val="bullet"/>
      <w:lvlText w:val="o"/>
      <w:lvlJc w:val="left"/>
      <w:pPr>
        <w:tabs>
          <w:tab w:val="num" w:pos="1440"/>
        </w:tabs>
        <w:ind w:left="1440" w:hanging="360"/>
      </w:pPr>
      <w:rPr>
        <w:rFonts w:ascii="Courier New" w:hAnsi="Courier New" w:cs="Courier New" w:hint="default"/>
      </w:rPr>
    </w:lvl>
    <w:lvl w:ilvl="2" w:tplc="B8FABFAC" w:tentative="1">
      <w:start w:val="1"/>
      <w:numFmt w:val="bullet"/>
      <w:lvlText w:val=""/>
      <w:lvlJc w:val="left"/>
      <w:pPr>
        <w:tabs>
          <w:tab w:val="num" w:pos="2160"/>
        </w:tabs>
        <w:ind w:left="2160" w:hanging="360"/>
      </w:pPr>
      <w:rPr>
        <w:rFonts w:ascii="Wingdings" w:hAnsi="Wingdings" w:hint="default"/>
      </w:rPr>
    </w:lvl>
    <w:lvl w:ilvl="3" w:tplc="BA5A84F2" w:tentative="1">
      <w:start w:val="1"/>
      <w:numFmt w:val="bullet"/>
      <w:lvlText w:val=""/>
      <w:lvlJc w:val="left"/>
      <w:pPr>
        <w:tabs>
          <w:tab w:val="num" w:pos="2880"/>
        </w:tabs>
        <w:ind w:left="2880" w:hanging="360"/>
      </w:pPr>
      <w:rPr>
        <w:rFonts w:ascii="Symbol" w:hAnsi="Symbol" w:hint="default"/>
      </w:rPr>
    </w:lvl>
    <w:lvl w:ilvl="4" w:tplc="B57274BA" w:tentative="1">
      <w:start w:val="1"/>
      <w:numFmt w:val="bullet"/>
      <w:lvlText w:val="o"/>
      <w:lvlJc w:val="left"/>
      <w:pPr>
        <w:tabs>
          <w:tab w:val="num" w:pos="3600"/>
        </w:tabs>
        <w:ind w:left="3600" w:hanging="360"/>
      </w:pPr>
      <w:rPr>
        <w:rFonts w:ascii="Courier New" w:hAnsi="Courier New" w:cs="Courier New" w:hint="default"/>
      </w:rPr>
    </w:lvl>
    <w:lvl w:ilvl="5" w:tplc="691CC65C" w:tentative="1">
      <w:start w:val="1"/>
      <w:numFmt w:val="bullet"/>
      <w:lvlText w:val=""/>
      <w:lvlJc w:val="left"/>
      <w:pPr>
        <w:tabs>
          <w:tab w:val="num" w:pos="4320"/>
        </w:tabs>
        <w:ind w:left="4320" w:hanging="360"/>
      </w:pPr>
      <w:rPr>
        <w:rFonts w:ascii="Wingdings" w:hAnsi="Wingdings" w:hint="default"/>
      </w:rPr>
    </w:lvl>
    <w:lvl w:ilvl="6" w:tplc="372C1E1C" w:tentative="1">
      <w:start w:val="1"/>
      <w:numFmt w:val="bullet"/>
      <w:lvlText w:val=""/>
      <w:lvlJc w:val="left"/>
      <w:pPr>
        <w:tabs>
          <w:tab w:val="num" w:pos="5040"/>
        </w:tabs>
        <w:ind w:left="5040" w:hanging="360"/>
      </w:pPr>
      <w:rPr>
        <w:rFonts w:ascii="Symbol" w:hAnsi="Symbol" w:hint="default"/>
      </w:rPr>
    </w:lvl>
    <w:lvl w:ilvl="7" w:tplc="6A74519E" w:tentative="1">
      <w:start w:val="1"/>
      <w:numFmt w:val="bullet"/>
      <w:lvlText w:val="o"/>
      <w:lvlJc w:val="left"/>
      <w:pPr>
        <w:tabs>
          <w:tab w:val="num" w:pos="5760"/>
        </w:tabs>
        <w:ind w:left="5760" w:hanging="360"/>
      </w:pPr>
      <w:rPr>
        <w:rFonts w:ascii="Courier New" w:hAnsi="Courier New" w:cs="Courier New" w:hint="default"/>
      </w:rPr>
    </w:lvl>
    <w:lvl w:ilvl="8" w:tplc="A31E575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91C1C"/>
    <w:multiLevelType w:val="hybridMultilevel"/>
    <w:tmpl w:val="26E0E266"/>
    <w:lvl w:ilvl="0" w:tplc="B1F460DA">
      <w:numFmt w:val="none"/>
      <w:lvlText w:val=""/>
      <w:lvlJc w:val="left"/>
      <w:pPr>
        <w:tabs>
          <w:tab w:val="num" w:pos="360"/>
        </w:tabs>
      </w:pPr>
    </w:lvl>
    <w:lvl w:ilvl="1" w:tplc="EEA830DE">
      <w:start w:val="1"/>
      <w:numFmt w:val="lowerLetter"/>
      <w:lvlText w:val="%2."/>
      <w:lvlJc w:val="left"/>
      <w:pPr>
        <w:ind w:left="1440" w:hanging="360"/>
      </w:pPr>
    </w:lvl>
    <w:lvl w:ilvl="2" w:tplc="25160622">
      <w:start w:val="1"/>
      <w:numFmt w:val="lowerRoman"/>
      <w:lvlText w:val="%3."/>
      <w:lvlJc w:val="right"/>
      <w:pPr>
        <w:ind w:left="2160" w:hanging="180"/>
      </w:pPr>
    </w:lvl>
    <w:lvl w:ilvl="3" w:tplc="8A123EE0">
      <w:start w:val="1"/>
      <w:numFmt w:val="decimal"/>
      <w:lvlText w:val="%4."/>
      <w:lvlJc w:val="left"/>
      <w:pPr>
        <w:ind w:left="2880" w:hanging="360"/>
      </w:pPr>
    </w:lvl>
    <w:lvl w:ilvl="4" w:tplc="892831AC">
      <w:start w:val="1"/>
      <w:numFmt w:val="lowerLetter"/>
      <w:lvlText w:val="%5."/>
      <w:lvlJc w:val="left"/>
      <w:pPr>
        <w:ind w:left="3600" w:hanging="360"/>
      </w:pPr>
    </w:lvl>
    <w:lvl w:ilvl="5" w:tplc="F788B38A">
      <w:start w:val="1"/>
      <w:numFmt w:val="lowerRoman"/>
      <w:lvlText w:val="%6."/>
      <w:lvlJc w:val="right"/>
      <w:pPr>
        <w:ind w:left="4320" w:hanging="180"/>
      </w:pPr>
    </w:lvl>
    <w:lvl w:ilvl="6" w:tplc="22FA2D14">
      <w:start w:val="1"/>
      <w:numFmt w:val="decimal"/>
      <w:lvlText w:val="%7."/>
      <w:lvlJc w:val="left"/>
      <w:pPr>
        <w:ind w:left="5040" w:hanging="360"/>
      </w:pPr>
    </w:lvl>
    <w:lvl w:ilvl="7" w:tplc="A3AEF32A">
      <w:start w:val="1"/>
      <w:numFmt w:val="lowerLetter"/>
      <w:lvlText w:val="%8."/>
      <w:lvlJc w:val="left"/>
      <w:pPr>
        <w:ind w:left="5760" w:hanging="360"/>
      </w:pPr>
    </w:lvl>
    <w:lvl w:ilvl="8" w:tplc="4FAE2950">
      <w:start w:val="1"/>
      <w:numFmt w:val="lowerRoman"/>
      <w:lvlText w:val="%9."/>
      <w:lvlJc w:val="right"/>
      <w:pPr>
        <w:ind w:left="6480" w:hanging="180"/>
      </w:pPr>
    </w:lvl>
  </w:abstractNum>
  <w:abstractNum w:abstractNumId="11" w15:restartNumberingAfterBreak="0">
    <w:nsid w:val="50B85896"/>
    <w:multiLevelType w:val="hybridMultilevel"/>
    <w:tmpl w:val="6C5A428A"/>
    <w:lvl w:ilvl="0" w:tplc="129A097A">
      <w:numFmt w:val="none"/>
      <w:lvlText w:val=""/>
      <w:lvlJc w:val="left"/>
      <w:pPr>
        <w:tabs>
          <w:tab w:val="num" w:pos="360"/>
        </w:tabs>
      </w:pPr>
    </w:lvl>
    <w:lvl w:ilvl="1" w:tplc="CF4AE7D4">
      <w:start w:val="1"/>
      <w:numFmt w:val="lowerLetter"/>
      <w:lvlText w:val="%2."/>
      <w:lvlJc w:val="left"/>
      <w:pPr>
        <w:ind w:left="1440" w:hanging="360"/>
      </w:pPr>
    </w:lvl>
    <w:lvl w:ilvl="2" w:tplc="5006661C">
      <w:start w:val="1"/>
      <w:numFmt w:val="lowerRoman"/>
      <w:lvlText w:val="%3."/>
      <w:lvlJc w:val="right"/>
      <w:pPr>
        <w:ind w:left="2160" w:hanging="180"/>
      </w:pPr>
    </w:lvl>
    <w:lvl w:ilvl="3" w:tplc="B718B068">
      <w:start w:val="1"/>
      <w:numFmt w:val="decimal"/>
      <w:lvlText w:val="%4."/>
      <w:lvlJc w:val="left"/>
      <w:pPr>
        <w:ind w:left="2880" w:hanging="360"/>
      </w:pPr>
    </w:lvl>
    <w:lvl w:ilvl="4" w:tplc="233650F6">
      <w:start w:val="1"/>
      <w:numFmt w:val="lowerLetter"/>
      <w:lvlText w:val="%5."/>
      <w:lvlJc w:val="left"/>
      <w:pPr>
        <w:ind w:left="3600" w:hanging="360"/>
      </w:pPr>
    </w:lvl>
    <w:lvl w:ilvl="5" w:tplc="8406595A">
      <w:start w:val="1"/>
      <w:numFmt w:val="lowerRoman"/>
      <w:lvlText w:val="%6."/>
      <w:lvlJc w:val="right"/>
      <w:pPr>
        <w:ind w:left="4320" w:hanging="180"/>
      </w:pPr>
    </w:lvl>
    <w:lvl w:ilvl="6" w:tplc="2F88E2DE">
      <w:start w:val="1"/>
      <w:numFmt w:val="decimal"/>
      <w:lvlText w:val="%7."/>
      <w:lvlJc w:val="left"/>
      <w:pPr>
        <w:ind w:left="5040" w:hanging="360"/>
      </w:pPr>
    </w:lvl>
    <w:lvl w:ilvl="7" w:tplc="1F704E46">
      <w:start w:val="1"/>
      <w:numFmt w:val="lowerLetter"/>
      <w:lvlText w:val="%8."/>
      <w:lvlJc w:val="left"/>
      <w:pPr>
        <w:ind w:left="5760" w:hanging="360"/>
      </w:pPr>
    </w:lvl>
    <w:lvl w:ilvl="8" w:tplc="5D0C1F5A">
      <w:start w:val="1"/>
      <w:numFmt w:val="lowerRoman"/>
      <w:lvlText w:val="%9."/>
      <w:lvlJc w:val="right"/>
      <w:pPr>
        <w:ind w:left="6480" w:hanging="180"/>
      </w:pPr>
    </w:lvl>
  </w:abstractNum>
  <w:abstractNum w:abstractNumId="12" w15:restartNumberingAfterBreak="0">
    <w:nsid w:val="6B031194"/>
    <w:multiLevelType w:val="hybridMultilevel"/>
    <w:tmpl w:val="34B0C522"/>
    <w:lvl w:ilvl="0" w:tplc="0F08F7F8">
      <w:start w:val="1"/>
      <w:numFmt w:val="decimal"/>
      <w:lvlText w:val="%1."/>
      <w:lvlJc w:val="left"/>
      <w:pPr>
        <w:ind w:left="4680" w:hanging="360"/>
      </w:pPr>
      <w:rPr>
        <w:rFonts w:hint="default"/>
      </w:rPr>
    </w:lvl>
    <w:lvl w:ilvl="1" w:tplc="9A90156E" w:tentative="1">
      <w:start w:val="1"/>
      <w:numFmt w:val="lowerLetter"/>
      <w:lvlText w:val="%2."/>
      <w:lvlJc w:val="left"/>
      <w:pPr>
        <w:ind w:left="5400" w:hanging="360"/>
      </w:pPr>
    </w:lvl>
    <w:lvl w:ilvl="2" w:tplc="A6326250" w:tentative="1">
      <w:start w:val="1"/>
      <w:numFmt w:val="lowerRoman"/>
      <w:lvlText w:val="%3."/>
      <w:lvlJc w:val="right"/>
      <w:pPr>
        <w:ind w:left="6120" w:hanging="180"/>
      </w:pPr>
    </w:lvl>
    <w:lvl w:ilvl="3" w:tplc="2DE86A68" w:tentative="1">
      <w:start w:val="1"/>
      <w:numFmt w:val="decimal"/>
      <w:lvlText w:val="%4."/>
      <w:lvlJc w:val="left"/>
      <w:pPr>
        <w:ind w:left="6840" w:hanging="360"/>
      </w:pPr>
    </w:lvl>
    <w:lvl w:ilvl="4" w:tplc="9848A608" w:tentative="1">
      <w:start w:val="1"/>
      <w:numFmt w:val="lowerLetter"/>
      <w:lvlText w:val="%5."/>
      <w:lvlJc w:val="left"/>
      <w:pPr>
        <w:ind w:left="7560" w:hanging="360"/>
      </w:pPr>
    </w:lvl>
    <w:lvl w:ilvl="5" w:tplc="0C8CB1A8" w:tentative="1">
      <w:start w:val="1"/>
      <w:numFmt w:val="lowerRoman"/>
      <w:lvlText w:val="%6."/>
      <w:lvlJc w:val="right"/>
      <w:pPr>
        <w:ind w:left="8280" w:hanging="180"/>
      </w:pPr>
    </w:lvl>
    <w:lvl w:ilvl="6" w:tplc="0F3AA4DC" w:tentative="1">
      <w:start w:val="1"/>
      <w:numFmt w:val="decimal"/>
      <w:lvlText w:val="%7."/>
      <w:lvlJc w:val="left"/>
      <w:pPr>
        <w:ind w:left="9000" w:hanging="360"/>
      </w:pPr>
    </w:lvl>
    <w:lvl w:ilvl="7" w:tplc="215C0C18" w:tentative="1">
      <w:start w:val="1"/>
      <w:numFmt w:val="lowerLetter"/>
      <w:lvlText w:val="%8."/>
      <w:lvlJc w:val="left"/>
      <w:pPr>
        <w:ind w:left="9720" w:hanging="360"/>
      </w:pPr>
    </w:lvl>
    <w:lvl w:ilvl="8" w:tplc="6978BA06" w:tentative="1">
      <w:start w:val="1"/>
      <w:numFmt w:val="lowerRoman"/>
      <w:lvlText w:val="%9."/>
      <w:lvlJc w:val="right"/>
      <w:pPr>
        <w:ind w:left="10440" w:hanging="180"/>
      </w:pPr>
    </w:lvl>
  </w:abstractNum>
  <w:abstractNum w:abstractNumId="13" w15:restartNumberingAfterBreak="0">
    <w:nsid w:val="6FA144B5"/>
    <w:multiLevelType w:val="hybridMultilevel"/>
    <w:tmpl w:val="EDDA875C"/>
    <w:lvl w:ilvl="0" w:tplc="00AC33F0">
      <w:numFmt w:val="none"/>
      <w:lvlText w:val=""/>
      <w:lvlJc w:val="left"/>
      <w:pPr>
        <w:tabs>
          <w:tab w:val="num" w:pos="360"/>
        </w:tabs>
      </w:pPr>
    </w:lvl>
    <w:lvl w:ilvl="1" w:tplc="CF4C45CC">
      <w:start w:val="1"/>
      <w:numFmt w:val="lowerLetter"/>
      <w:lvlText w:val="%2."/>
      <w:lvlJc w:val="left"/>
      <w:pPr>
        <w:ind w:left="1440" w:hanging="360"/>
      </w:pPr>
    </w:lvl>
    <w:lvl w:ilvl="2" w:tplc="2A16071A">
      <w:start w:val="1"/>
      <w:numFmt w:val="lowerRoman"/>
      <w:lvlText w:val="%3."/>
      <w:lvlJc w:val="right"/>
      <w:pPr>
        <w:ind w:left="2160" w:hanging="180"/>
      </w:pPr>
    </w:lvl>
    <w:lvl w:ilvl="3" w:tplc="AE5EB7F4">
      <w:start w:val="1"/>
      <w:numFmt w:val="decimal"/>
      <w:lvlText w:val="%4."/>
      <w:lvlJc w:val="left"/>
      <w:pPr>
        <w:ind w:left="2880" w:hanging="360"/>
      </w:pPr>
    </w:lvl>
    <w:lvl w:ilvl="4" w:tplc="89589556">
      <w:start w:val="1"/>
      <w:numFmt w:val="lowerLetter"/>
      <w:lvlText w:val="%5."/>
      <w:lvlJc w:val="left"/>
      <w:pPr>
        <w:ind w:left="3600" w:hanging="360"/>
      </w:pPr>
    </w:lvl>
    <w:lvl w:ilvl="5" w:tplc="AB84530A">
      <w:start w:val="1"/>
      <w:numFmt w:val="lowerRoman"/>
      <w:lvlText w:val="%6."/>
      <w:lvlJc w:val="right"/>
      <w:pPr>
        <w:ind w:left="4320" w:hanging="180"/>
      </w:pPr>
    </w:lvl>
    <w:lvl w:ilvl="6" w:tplc="F9E6A562">
      <w:start w:val="1"/>
      <w:numFmt w:val="decimal"/>
      <w:lvlText w:val="%7."/>
      <w:lvlJc w:val="left"/>
      <w:pPr>
        <w:ind w:left="5040" w:hanging="360"/>
      </w:pPr>
    </w:lvl>
    <w:lvl w:ilvl="7" w:tplc="25D6FC3E">
      <w:start w:val="1"/>
      <w:numFmt w:val="lowerLetter"/>
      <w:lvlText w:val="%8."/>
      <w:lvlJc w:val="left"/>
      <w:pPr>
        <w:ind w:left="5760" w:hanging="360"/>
      </w:pPr>
    </w:lvl>
    <w:lvl w:ilvl="8" w:tplc="7EF01A02">
      <w:start w:val="1"/>
      <w:numFmt w:val="lowerRoman"/>
      <w:lvlText w:val="%9."/>
      <w:lvlJc w:val="right"/>
      <w:pPr>
        <w:ind w:left="6480" w:hanging="180"/>
      </w:pPr>
    </w:lvl>
  </w:abstractNum>
  <w:abstractNum w:abstractNumId="14" w15:restartNumberingAfterBreak="0">
    <w:nsid w:val="70111C57"/>
    <w:multiLevelType w:val="hybridMultilevel"/>
    <w:tmpl w:val="C060CC64"/>
    <w:lvl w:ilvl="0" w:tplc="73482DBC">
      <w:start w:val="1"/>
      <w:numFmt w:val="decimal"/>
      <w:lvlText w:val="%1."/>
      <w:lvlJc w:val="left"/>
      <w:pPr>
        <w:tabs>
          <w:tab w:val="num" w:pos="720"/>
        </w:tabs>
        <w:ind w:left="720" w:hanging="360"/>
      </w:pPr>
    </w:lvl>
    <w:lvl w:ilvl="1" w:tplc="13D407F0" w:tentative="1">
      <w:start w:val="1"/>
      <w:numFmt w:val="lowerLetter"/>
      <w:lvlText w:val="%2."/>
      <w:lvlJc w:val="left"/>
      <w:pPr>
        <w:tabs>
          <w:tab w:val="num" w:pos="1440"/>
        </w:tabs>
        <w:ind w:left="1440" w:hanging="360"/>
      </w:pPr>
    </w:lvl>
    <w:lvl w:ilvl="2" w:tplc="E602870C" w:tentative="1">
      <w:start w:val="1"/>
      <w:numFmt w:val="lowerRoman"/>
      <w:lvlText w:val="%3."/>
      <w:lvlJc w:val="right"/>
      <w:pPr>
        <w:tabs>
          <w:tab w:val="num" w:pos="2160"/>
        </w:tabs>
        <w:ind w:left="2160" w:hanging="180"/>
      </w:pPr>
    </w:lvl>
    <w:lvl w:ilvl="3" w:tplc="37F2CCF2" w:tentative="1">
      <w:start w:val="1"/>
      <w:numFmt w:val="decimal"/>
      <w:lvlText w:val="%4."/>
      <w:lvlJc w:val="left"/>
      <w:pPr>
        <w:tabs>
          <w:tab w:val="num" w:pos="2880"/>
        </w:tabs>
        <w:ind w:left="2880" w:hanging="360"/>
      </w:pPr>
    </w:lvl>
    <w:lvl w:ilvl="4" w:tplc="03203BB6" w:tentative="1">
      <w:start w:val="1"/>
      <w:numFmt w:val="lowerLetter"/>
      <w:lvlText w:val="%5."/>
      <w:lvlJc w:val="left"/>
      <w:pPr>
        <w:tabs>
          <w:tab w:val="num" w:pos="3600"/>
        </w:tabs>
        <w:ind w:left="3600" w:hanging="360"/>
      </w:pPr>
    </w:lvl>
    <w:lvl w:ilvl="5" w:tplc="3DB49BA2" w:tentative="1">
      <w:start w:val="1"/>
      <w:numFmt w:val="lowerRoman"/>
      <w:lvlText w:val="%6."/>
      <w:lvlJc w:val="right"/>
      <w:pPr>
        <w:tabs>
          <w:tab w:val="num" w:pos="4320"/>
        </w:tabs>
        <w:ind w:left="4320" w:hanging="180"/>
      </w:pPr>
    </w:lvl>
    <w:lvl w:ilvl="6" w:tplc="32AAEFCC" w:tentative="1">
      <w:start w:val="1"/>
      <w:numFmt w:val="decimal"/>
      <w:lvlText w:val="%7."/>
      <w:lvlJc w:val="left"/>
      <w:pPr>
        <w:tabs>
          <w:tab w:val="num" w:pos="5040"/>
        </w:tabs>
        <w:ind w:left="5040" w:hanging="360"/>
      </w:pPr>
    </w:lvl>
    <w:lvl w:ilvl="7" w:tplc="0FF0B4C8" w:tentative="1">
      <w:start w:val="1"/>
      <w:numFmt w:val="lowerLetter"/>
      <w:lvlText w:val="%8."/>
      <w:lvlJc w:val="left"/>
      <w:pPr>
        <w:tabs>
          <w:tab w:val="num" w:pos="5760"/>
        </w:tabs>
        <w:ind w:left="5760" w:hanging="360"/>
      </w:pPr>
    </w:lvl>
    <w:lvl w:ilvl="8" w:tplc="E3C6A618" w:tentative="1">
      <w:start w:val="1"/>
      <w:numFmt w:val="lowerRoman"/>
      <w:lvlText w:val="%9."/>
      <w:lvlJc w:val="right"/>
      <w:pPr>
        <w:tabs>
          <w:tab w:val="num" w:pos="6480"/>
        </w:tabs>
        <w:ind w:left="6480" w:hanging="180"/>
      </w:pPr>
    </w:lvl>
  </w:abstractNum>
  <w:abstractNum w:abstractNumId="15" w15:restartNumberingAfterBreak="0">
    <w:nsid w:val="70634D42"/>
    <w:multiLevelType w:val="hybridMultilevel"/>
    <w:tmpl w:val="5CCA1AD6"/>
    <w:lvl w:ilvl="0" w:tplc="0A18B50C">
      <w:start w:val="1"/>
      <w:numFmt w:val="bullet"/>
      <w:lvlText w:val=""/>
      <w:lvlJc w:val="left"/>
      <w:pPr>
        <w:tabs>
          <w:tab w:val="num" w:pos="288"/>
        </w:tabs>
        <w:ind w:left="288" w:hanging="288"/>
      </w:pPr>
      <w:rPr>
        <w:rFonts w:ascii="Symbol" w:hAnsi="Symbol" w:hint="default"/>
        <w:color w:val="666699"/>
        <w:sz w:val="24"/>
        <w:szCs w:val="24"/>
      </w:rPr>
    </w:lvl>
    <w:lvl w:ilvl="1" w:tplc="03F4E130" w:tentative="1">
      <w:start w:val="1"/>
      <w:numFmt w:val="bullet"/>
      <w:lvlText w:val="o"/>
      <w:lvlJc w:val="left"/>
      <w:pPr>
        <w:tabs>
          <w:tab w:val="num" w:pos="1440"/>
        </w:tabs>
        <w:ind w:left="1440" w:hanging="360"/>
      </w:pPr>
      <w:rPr>
        <w:rFonts w:ascii="Courier New" w:hAnsi="Courier New" w:cs="Courier New" w:hint="default"/>
      </w:rPr>
    </w:lvl>
    <w:lvl w:ilvl="2" w:tplc="768A2A20" w:tentative="1">
      <w:start w:val="1"/>
      <w:numFmt w:val="bullet"/>
      <w:lvlText w:val=""/>
      <w:lvlJc w:val="left"/>
      <w:pPr>
        <w:tabs>
          <w:tab w:val="num" w:pos="2160"/>
        </w:tabs>
        <w:ind w:left="2160" w:hanging="360"/>
      </w:pPr>
      <w:rPr>
        <w:rFonts w:ascii="Wingdings" w:hAnsi="Wingdings" w:hint="default"/>
      </w:rPr>
    </w:lvl>
    <w:lvl w:ilvl="3" w:tplc="78F84ED6" w:tentative="1">
      <w:start w:val="1"/>
      <w:numFmt w:val="bullet"/>
      <w:lvlText w:val=""/>
      <w:lvlJc w:val="left"/>
      <w:pPr>
        <w:tabs>
          <w:tab w:val="num" w:pos="2880"/>
        </w:tabs>
        <w:ind w:left="2880" w:hanging="360"/>
      </w:pPr>
      <w:rPr>
        <w:rFonts w:ascii="Symbol" w:hAnsi="Symbol" w:hint="default"/>
      </w:rPr>
    </w:lvl>
    <w:lvl w:ilvl="4" w:tplc="CE3A08D8" w:tentative="1">
      <w:start w:val="1"/>
      <w:numFmt w:val="bullet"/>
      <w:lvlText w:val="o"/>
      <w:lvlJc w:val="left"/>
      <w:pPr>
        <w:tabs>
          <w:tab w:val="num" w:pos="3600"/>
        </w:tabs>
        <w:ind w:left="3600" w:hanging="360"/>
      </w:pPr>
      <w:rPr>
        <w:rFonts w:ascii="Courier New" w:hAnsi="Courier New" w:cs="Courier New" w:hint="default"/>
      </w:rPr>
    </w:lvl>
    <w:lvl w:ilvl="5" w:tplc="8BA6D178" w:tentative="1">
      <w:start w:val="1"/>
      <w:numFmt w:val="bullet"/>
      <w:lvlText w:val=""/>
      <w:lvlJc w:val="left"/>
      <w:pPr>
        <w:tabs>
          <w:tab w:val="num" w:pos="4320"/>
        </w:tabs>
        <w:ind w:left="4320" w:hanging="360"/>
      </w:pPr>
      <w:rPr>
        <w:rFonts w:ascii="Wingdings" w:hAnsi="Wingdings" w:hint="default"/>
      </w:rPr>
    </w:lvl>
    <w:lvl w:ilvl="6" w:tplc="7BF4DA76" w:tentative="1">
      <w:start w:val="1"/>
      <w:numFmt w:val="bullet"/>
      <w:lvlText w:val=""/>
      <w:lvlJc w:val="left"/>
      <w:pPr>
        <w:tabs>
          <w:tab w:val="num" w:pos="5040"/>
        </w:tabs>
        <w:ind w:left="5040" w:hanging="360"/>
      </w:pPr>
      <w:rPr>
        <w:rFonts w:ascii="Symbol" w:hAnsi="Symbol" w:hint="default"/>
      </w:rPr>
    </w:lvl>
    <w:lvl w:ilvl="7" w:tplc="64E8B440" w:tentative="1">
      <w:start w:val="1"/>
      <w:numFmt w:val="bullet"/>
      <w:lvlText w:val="o"/>
      <w:lvlJc w:val="left"/>
      <w:pPr>
        <w:tabs>
          <w:tab w:val="num" w:pos="5760"/>
        </w:tabs>
        <w:ind w:left="5760" w:hanging="360"/>
      </w:pPr>
      <w:rPr>
        <w:rFonts w:ascii="Courier New" w:hAnsi="Courier New" w:cs="Courier New" w:hint="default"/>
      </w:rPr>
    </w:lvl>
    <w:lvl w:ilvl="8" w:tplc="9E18A1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93D2C"/>
    <w:multiLevelType w:val="hybridMultilevel"/>
    <w:tmpl w:val="04708D78"/>
    <w:lvl w:ilvl="0" w:tplc="98406B2C">
      <w:start w:val="1"/>
      <w:numFmt w:val="bullet"/>
      <w:lvlText w:val=""/>
      <w:lvlJc w:val="left"/>
      <w:pPr>
        <w:tabs>
          <w:tab w:val="num" w:pos="720"/>
        </w:tabs>
        <w:ind w:left="720" w:hanging="360"/>
      </w:pPr>
      <w:rPr>
        <w:rFonts w:ascii="Symbol" w:hAnsi="Symbol" w:hint="default"/>
      </w:rPr>
    </w:lvl>
    <w:lvl w:ilvl="1" w:tplc="EACC1CE2" w:tentative="1">
      <w:start w:val="1"/>
      <w:numFmt w:val="bullet"/>
      <w:lvlText w:val="o"/>
      <w:lvlJc w:val="left"/>
      <w:pPr>
        <w:tabs>
          <w:tab w:val="num" w:pos="1440"/>
        </w:tabs>
        <w:ind w:left="1440" w:hanging="360"/>
      </w:pPr>
      <w:rPr>
        <w:rFonts w:ascii="Courier New" w:hAnsi="Courier New" w:hint="default"/>
      </w:rPr>
    </w:lvl>
    <w:lvl w:ilvl="2" w:tplc="65E0B48E" w:tentative="1">
      <w:start w:val="1"/>
      <w:numFmt w:val="bullet"/>
      <w:lvlText w:val=""/>
      <w:lvlJc w:val="left"/>
      <w:pPr>
        <w:tabs>
          <w:tab w:val="num" w:pos="2160"/>
        </w:tabs>
        <w:ind w:left="2160" w:hanging="360"/>
      </w:pPr>
      <w:rPr>
        <w:rFonts w:ascii="Wingdings" w:hAnsi="Wingdings" w:hint="default"/>
      </w:rPr>
    </w:lvl>
    <w:lvl w:ilvl="3" w:tplc="55AC152E" w:tentative="1">
      <w:start w:val="1"/>
      <w:numFmt w:val="bullet"/>
      <w:lvlText w:val=""/>
      <w:lvlJc w:val="left"/>
      <w:pPr>
        <w:tabs>
          <w:tab w:val="num" w:pos="2880"/>
        </w:tabs>
        <w:ind w:left="2880" w:hanging="360"/>
      </w:pPr>
      <w:rPr>
        <w:rFonts w:ascii="Symbol" w:hAnsi="Symbol" w:hint="default"/>
      </w:rPr>
    </w:lvl>
    <w:lvl w:ilvl="4" w:tplc="077091C2" w:tentative="1">
      <w:start w:val="1"/>
      <w:numFmt w:val="bullet"/>
      <w:lvlText w:val="o"/>
      <w:lvlJc w:val="left"/>
      <w:pPr>
        <w:tabs>
          <w:tab w:val="num" w:pos="3600"/>
        </w:tabs>
        <w:ind w:left="3600" w:hanging="360"/>
      </w:pPr>
      <w:rPr>
        <w:rFonts w:ascii="Courier New" w:hAnsi="Courier New" w:hint="default"/>
      </w:rPr>
    </w:lvl>
    <w:lvl w:ilvl="5" w:tplc="59383AB6" w:tentative="1">
      <w:start w:val="1"/>
      <w:numFmt w:val="bullet"/>
      <w:lvlText w:val=""/>
      <w:lvlJc w:val="left"/>
      <w:pPr>
        <w:tabs>
          <w:tab w:val="num" w:pos="4320"/>
        </w:tabs>
        <w:ind w:left="4320" w:hanging="360"/>
      </w:pPr>
      <w:rPr>
        <w:rFonts w:ascii="Wingdings" w:hAnsi="Wingdings" w:hint="default"/>
      </w:rPr>
    </w:lvl>
    <w:lvl w:ilvl="6" w:tplc="CD8A9C7C" w:tentative="1">
      <w:start w:val="1"/>
      <w:numFmt w:val="bullet"/>
      <w:lvlText w:val=""/>
      <w:lvlJc w:val="left"/>
      <w:pPr>
        <w:tabs>
          <w:tab w:val="num" w:pos="5040"/>
        </w:tabs>
        <w:ind w:left="5040" w:hanging="360"/>
      </w:pPr>
      <w:rPr>
        <w:rFonts w:ascii="Symbol" w:hAnsi="Symbol" w:hint="default"/>
      </w:rPr>
    </w:lvl>
    <w:lvl w:ilvl="7" w:tplc="C3B44848" w:tentative="1">
      <w:start w:val="1"/>
      <w:numFmt w:val="bullet"/>
      <w:lvlText w:val="o"/>
      <w:lvlJc w:val="left"/>
      <w:pPr>
        <w:tabs>
          <w:tab w:val="num" w:pos="5760"/>
        </w:tabs>
        <w:ind w:left="5760" w:hanging="360"/>
      </w:pPr>
      <w:rPr>
        <w:rFonts w:ascii="Courier New" w:hAnsi="Courier New" w:hint="default"/>
      </w:rPr>
    </w:lvl>
    <w:lvl w:ilvl="8" w:tplc="69D465A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3"/>
  </w:num>
  <w:num w:numId="4">
    <w:abstractNumId w:val="11"/>
  </w:num>
  <w:num w:numId="5">
    <w:abstractNumId w:val="2"/>
  </w:num>
  <w:num w:numId="6">
    <w:abstractNumId w:val="10"/>
  </w:num>
  <w:num w:numId="7">
    <w:abstractNumId w:val="1"/>
  </w:num>
  <w:num w:numId="8">
    <w:abstractNumId w:val="0"/>
  </w:num>
  <w:num w:numId="9">
    <w:abstractNumId w:val="8"/>
  </w:num>
  <w:num w:numId="10">
    <w:abstractNumId w:val="7"/>
  </w:num>
  <w:num w:numId="11">
    <w:abstractNumId w:val="14"/>
  </w:num>
  <w:num w:numId="12">
    <w:abstractNumId w:val="16"/>
  </w:num>
  <w:num w:numId="13">
    <w:abstractNumId w:val="5"/>
  </w:num>
  <w:num w:numId="14">
    <w:abstractNumId w:val="9"/>
  </w:num>
  <w:num w:numId="15">
    <w:abstractNumId w:val="4"/>
  </w:num>
  <w:num w:numId="16">
    <w:abstractNumId w:val="15"/>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34">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6">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DF9"/>
    <w:rsid w:val="00434E5C"/>
    <w:rsid w:val="0044630F"/>
    <w:rsid w:val="00BC44A7"/>
    <w:rsid w:val="00EE1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0676"/>
  <w15:chartTrackingRefBased/>
  <w15:docId w15:val="{BF32A978-6ED9-463A-A46A-7E26CDDB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5">
    <w:name w:val="heading 5"/>
    <w:basedOn w:val="Normal"/>
    <w:qFormat/>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pPr>
      <w:suppressAutoHyphens/>
      <w:spacing w:before="240"/>
    </w:pPr>
  </w:style>
  <w:style w:type="paragraph" w:customStyle="1" w:styleId="PRT">
    <w:name w:val="PRT"/>
    <w:basedOn w:val="Normal"/>
    <w:next w:val="ART"/>
    <w:pPr>
      <w:keepNext/>
      <w:suppressAutoHyphens/>
      <w:spacing w:before="240"/>
      <w:jc w:val="both"/>
      <w:outlineLvl w:val="0"/>
    </w:pPr>
  </w:style>
  <w:style w:type="paragraph" w:customStyle="1" w:styleId="ART">
    <w:name w:val="ART"/>
    <w:basedOn w:val="Normal"/>
    <w:next w:val="PR1"/>
    <w:link w:val="ARTChar"/>
    <w:pPr>
      <w:keepNext/>
      <w:numPr>
        <w:ilvl w:val="3"/>
        <w:numId w:val="8"/>
      </w:numPr>
      <w:suppressAutoHyphens/>
      <w:spacing w:before="240"/>
      <w:jc w:val="both"/>
      <w:outlineLvl w:val="1"/>
    </w:pPr>
    <w:rPr>
      <w:rFonts w:cs="Arial"/>
    </w:rPr>
  </w:style>
  <w:style w:type="paragraph" w:customStyle="1" w:styleId="PR1">
    <w:name w:val="PR1"/>
    <w:basedOn w:val="Normal"/>
    <w:link w:val="PR1Char"/>
    <w:pPr>
      <w:numPr>
        <w:ilvl w:val="4"/>
        <w:numId w:val="8"/>
      </w:numPr>
      <w:suppressAutoHyphens/>
      <w:spacing w:before="240"/>
      <w:jc w:val="both"/>
      <w:outlineLvl w:val="2"/>
    </w:pPr>
    <w:rPr>
      <w:lang w:val="x-none" w:eastAsia="x-none"/>
    </w:rPr>
  </w:style>
  <w:style w:type="paragraph" w:customStyle="1" w:styleId="PR2">
    <w:name w:val="PR2"/>
    <w:basedOn w:val="Normal"/>
    <w:link w:val="PR2Char"/>
    <w:pPr>
      <w:numPr>
        <w:ilvl w:val="5"/>
        <w:numId w:val="8"/>
      </w:numPr>
      <w:suppressAutoHyphens/>
      <w:jc w:val="both"/>
      <w:outlineLvl w:val="3"/>
    </w:pPr>
    <w:rPr>
      <w:lang w:val="x-none" w:eastAsia="x-none"/>
    </w:rPr>
  </w:style>
  <w:style w:type="paragraph" w:customStyle="1" w:styleId="PR3">
    <w:name w:val="PR3"/>
    <w:basedOn w:val="Normal"/>
    <w:link w:val="PR3Char"/>
    <w:pPr>
      <w:numPr>
        <w:ilvl w:val="6"/>
        <w:numId w:val="8"/>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Pr>
      <w:color w:val="0000FF"/>
      <w:u w:val="single"/>
    </w:rPr>
  </w:style>
  <w:style w:type="character" w:styleId="Strong">
    <w:name w:val="Strong"/>
    <w:qFormat/>
    <w:rPr>
      <w:b/>
      <w:bCs/>
    </w:rPr>
  </w:style>
  <w:style w:type="character" w:styleId="Emphasis">
    <w:name w:val="Emphasis"/>
    <w:qFormat/>
    <w:rPr>
      <w:i/>
      <w:iCs/>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PRN">
    <w:name w:val="PRN"/>
    <w:basedOn w:val="Normal"/>
    <w:link w:val="PRNChar"/>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Pr>
      <w:rFonts w:ascii="Arial" w:hAnsi="Arial"/>
      <w:color w:val="0000FF"/>
      <w:shd w:val="pct20" w:color="FFFF00" w:fill="FFFFFF"/>
      <w:lang w:val="x-none" w:eastAsia="x-none"/>
    </w:rPr>
  </w:style>
  <w:style w:type="character" w:customStyle="1" w:styleId="SI">
    <w:name w:val="SI"/>
    <w:rPr>
      <w:rFonts w:cs="Times New Roman"/>
      <w:color w:val="008080"/>
    </w:rPr>
  </w:style>
  <w:style w:type="character" w:customStyle="1" w:styleId="IP">
    <w:name w:val="IP"/>
    <w:rPr>
      <w:rFonts w:cs="Times New Roman"/>
      <w:color w:val="FF0000"/>
    </w:rPr>
  </w:style>
  <w:style w:type="paragraph" w:customStyle="1" w:styleId="CMTList">
    <w:name w:val="CMTList"/>
    <w:basedOn w:val="CMT"/>
    <w:qFormat/>
    <w:pPr>
      <w:spacing w:before="0"/>
    </w:pPr>
  </w:style>
  <w:style w:type="paragraph" w:styleId="DocumentMap">
    <w:name w:val="Document Map"/>
    <w:basedOn w:val="Normal"/>
    <w:link w:val="DocumentMapChar"/>
    <w:rPr>
      <w:rFonts w:ascii="Tahoma" w:hAnsi="Tahoma"/>
      <w:sz w:val="16"/>
      <w:szCs w:val="16"/>
      <w:lang w:val="x-none" w:eastAsia="x-none"/>
    </w:rPr>
  </w:style>
  <w:style w:type="character" w:customStyle="1" w:styleId="DocumentMapChar">
    <w:name w:val="Document Map Char"/>
    <w:link w:val="DocumentMap"/>
    <w:rPr>
      <w:rFonts w:ascii="Tahoma" w:hAnsi="Tahoma" w:cs="Tahoma"/>
      <w:sz w:val="16"/>
      <w:szCs w:val="16"/>
    </w:rPr>
  </w:style>
  <w:style w:type="paragraph" w:customStyle="1" w:styleId="CMTGreen">
    <w:name w:val="CMTGreen"/>
    <w:basedOn w:val="CMT"/>
    <w:qFormat/>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Pr>
      <w:rFonts w:ascii="Arial" w:hAnsi="Arial"/>
      <w:lang w:val="x-none" w:eastAsia="x-none"/>
    </w:rPr>
  </w:style>
  <w:style w:type="paragraph" w:customStyle="1" w:styleId="PR4">
    <w:name w:val="PR4"/>
    <w:basedOn w:val="Normal"/>
    <w:autoRedefine/>
    <w:pPr>
      <w:tabs>
        <w:tab w:val="left" w:pos="2592"/>
      </w:tabs>
      <w:ind w:left="2592" w:hanging="576"/>
      <w:outlineLvl w:val="5"/>
    </w:pPr>
  </w:style>
  <w:style w:type="character" w:customStyle="1" w:styleId="PR2Char">
    <w:name w:val="PR2 Char"/>
    <w:link w:val="PR2"/>
    <w:locked/>
    <w:rPr>
      <w:rFonts w:ascii="Arial" w:hAnsi="Arial"/>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customStyle="1" w:styleId="TXT">
    <w:name w:val="TXT"/>
    <w:basedOn w:val="Normal"/>
    <w:pPr>
      <w:ind w:left="230"/>
    </w:pPr>
    <w:rPr>
      <w:rFonts w:ascii="Courier New" w:hAnsi="Courier New"/>
    </w:rPr>
  </w:style>
  <w:style w:type="paragraph" w:customStyle="1" w:styleId="SUT">
    <w:name w:val="SUT"/>
    <w:basedOn w:val="Normal"/>
    <w:next w:val="PR1"/>
    <w:pPr>
      <w:suppressAutoHyphens/>
      <w:spacing w:before="240"/>
      <w:jc w:val="both"/>
      <w:outlineLvl w:val="0"/>
    </w:pPr>
    <w:rPr>
      <w:rFonts w:ascii="Times New Roman" w:hAnsi="Times New Roman"/>
    </w:rPr>
  </w:style>
  <w:style w:type="paragraph" w:customStyle="1" w:styleId="DST">
    <w:name w:val="DST"/>
    <w:basedOn w:val="Normal"/>
    <w:next w:val="PR1"/>
    <w:pPr>
      <w:suppressAutoHyphens/>
      <w:spacing w:before="240"/>
      <w:jc w:val="both"/>
      <w:outlineLvl w:val="0"/>
    </w:pPr>
    <w:rPr>
      <w:rFonts w:ascii="Times New Roman" w:hAnsi="Times New Roman"/>
    </w:rPr>
  </w:style>
  <w:style w:type="paragraph" w:customStyle="1" w:styleId="PR5">
    <w:name w:val="PR5"/>
    <w:basedOn w:val="Normal"/>
    <w:autoRedefine/>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Pr>
      <w:rFonts w:ascii="Arial" w:hAnsi="Arial" w:cs="Arial"/>
    </w:rPr>
  </w:style>
  <w:style w:type="paragraph" w:customStyle="1" w:styleId="ArticleB">
    <w:name w:val="ArticleB"/>
    <w:basedOn w:val="Normal"/>
    <w:next w:val="Normal"/>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character" w:customStyle="1" w:styleId="Level1Char">
    <w:name w:val="Level1 Char"/>
    <w:link w:val="Level1"/>
    <w:rPr>
      <w:rFonts w:ascii="Courier New" w:hAnsi="Courier New"/>
    </w:rPr>
  </w:style>
  <w:style w:type="character" w:customStyle="1" w:styleId="SAhyperlink">
    <w:name w:val="SAhyperlink"/>
    <w:rPr>
      <w:rFonts w:cs="Times New Roman"/>
      <w:color w:val="E36C0A"/>
      <w:u w:val="single"/>
    </w:rPr>
  </w:style>
  <w:style w:type="character" w:customStyle="1" w:styleId="ARTChar">
    <w:name w:val="ART Char"/>
    <w:link w:val="ART"/>
    <w:rPr>
      <w:rFonts w:ascii="Arial" w:hAnsi="Arial" w:cs="Arial"/>
    </w:rPr>
  </w:style>
  <w:style w:type="paragraph" w:styleId="BodyText">
    <w:name w:val="Body Text"/>
    <w:basedOn w:val="Normal"/>
    <w:link w:val="BodyTextChar"/>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595706">
      <w:bodyDiv w:val="1"/>
      <w:marLeft w:val="0"/>
      <w:marRight w:val="0"/>
      <w:marTop w:val="0"/>
      <w:marBottom w:val="0"/>
      <w:divBdr>
        <w:top w:val="none" w:sz="0" w:space="0" w:color="auto"/>
        <w:left w:val="none" w:sz="0" w:space="0" w:color="auto"/>
        <w:bottom w:val="none" w:sz="0" w:space="0" w:color="auto"/>
        <w:right w:val="none" w:sz="0" w:space="0" w:color="auto"/>
      </w:divBdr>
    </w:div>
    <w:div w:id="9930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ri.org" TargetMode="External"/><Relationship Id="rId18" Type="http://schemas.openxmlformats.org/officeDocument/2006/relationships/hyperlink" Target="http://www.tremcosealants.com"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yperlink" Target="mailto:techresources@tremcoinc.com" TargetMode="External"/><Relationship Id="rId2" Type="http://schemas.openxmlformats.org/officeDocument/2006/relationships/customXml" Target="../customXml/item2.xml"/><Relationship Id="rId16" Type="http://schemas.openxmlformats.org/officeDocument/2006/relationships/hyperlink" Target="http://www.epa.gov"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l.com" TargetMode="External"/><Relationship Id="rId23" Type="http://schemas.openxmlformats.org/officeDocument/2006/relationships/fontTable" Target="fontTable.xml"/><Relationship Id="rId10" Type="http://schemas.openxmlformats.org/officeDocument/2006/relationships/hyperlink" Target="http://www.tremcosealants.com"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swrionlin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2EB7-08A7-49EC-BC06-F906EA623461}">
  <ds:schemaRefs>
    <ds:schemaRef ds:uri="http://schemas.openxmlformats.org/officeDocument/2006/bibliography"/>
  </ds:schemaRefs>
</ds:datastoreItem>
</file>

<file path=customXml/itemProps2.xml><?xml version="1.0" encoding="utf-8"?>
<ds:datastoreItem xmlns:ds="http://schemas.openxmlformats.org/officeDocument/2006/customXml" ds:itemID="{74F64BDF-4C94-47B9-BED8-8BE05A36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11</Pages>
  <Words>5049</Words>
  <Characters>28781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33763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lastModifiedBy>Lengel, Stephanie C.</cp:lastModifiedBy>
  <cp:revision>2</cp:revision>
  <cp:lastPrinted>2014-06-01T15:00:00Z</cp:lastPrinted>
  <dcterms:created xsi:type="dcterms:W3CDTF">2021-02-12T15:18:00Z</dcterms:created>
  <dcterms:modified xsi:type="dcterms:W3CDTF">2021-02-12T15:18:00Z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ashBlankHTML">
    <vt:lpwstr>Dow Corning</vt:lpwstr>
  </property>
  <property fmtid="{D5CDD505-2E9C-101B-9397-08002B2CF9AE}" pid="3" name="IAM_LGL_ENTITY">
    <vt:lpwstr>Dow Corning</vt:lpwstr>
  </property>
  <property fmtid="{D5CDD505-2E9C-101B-9397-08002B2CF9AE}" pid="4" name="IAM_SECURITY_CLASS">
    <vt:lpwstr>Non-Classified</vt:lpwstr>
  </property>
  <property fmtid="{D5CDD505-2E9C-101B-9397-08002B2CF9AE}" pid="5" name="TitusGUID">
    <vt:lpwstr>1648605c-4cfa-44f7-b26c-a50e8c7d448b</vt:lpwstr>
  </property>
</Properties>
</file>